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913" w:rsidRPr="00F66EF1" w:rsidRDefault="00F66EF1">
      <w:pPr>
        <w:pStyle w:val="Annexetitre"/>
      </w:pPr>
      <w:r>
        <w:t>ANNEXE</w:t>
      </w:r>
      <w:r w:rsidR="00B42C9E" w:rsidRPr="00F66EF1">
        <w:t xml:space="preserve"> I </w:t>
      </w:r>
    </w:p>
    <w:p w:rsidR="00224913" w:rsidRPr="00F66EF1" w:rsidRDefault="00792AD2">
      <w:pPr>
        <w:pStyle w:val="Accompagnant"/>
      </w:pPr>
      <w:r w:rsidRPr="00F66EF1">
        <w:t xml:space="preserve">Modèle de présentation des données sur la mise en décharge des déchets municipaux biodégradables visé à l’article 3, paragraphe 1 </w:t>
      </w:r>
    </w:p>
    <w:p w:rsidR="00224913" w:rsidRPr="00F66EF1" w:rsidRDefault="005F2871">
      <w:pPr>
        <w:pStyle w:val="Heading1"/>
        <w:numPr>
          <w:ilvl w:val="0"/>
          <w:numId w:val="1"/>
        </w:numPr>
      </w:pPr>
      <w:r w:rsidRPr="00F66EF1">
        <w:rPr>
          <w:smallCaps w:val="0"/>
        </w:rPr>
        <w:t>Modèle de présentation des données</w:t>
      </w:r>
    </w:p>
    <w:tbl>
      <w:tblPr>
        <w:tblStyle w:val="TableGrid"/>
        <w:tblW w:w="0" w:type="auto"/>
        <w:tblLayout w:type="fixed"/>
        <w:tblLook w:val="04A0" w:firstRow="1" w:lastRow="0" w:firstColumn="1" w:lastColumn="0" w:noHBand="0" w:noVBand="1"/>
      </w:tblPr>
      <w:tblGrid>
        <w:gridCol w:w="3227"/>
        <w:gridCol w:w="3402"/>
        <w:gridCol w:w="2660"/>
      </w:tblGrid>
      <w:tr w:rsidR="00224913" w:rsidRPr="00F66EF1" w:rsidTr="00703709">
        <w:tc>
          <w:tcPr>
            <w:tcW w:w="6629" w:type="dxa"/>
            <w:gridSpan w:val="2"/>
          </w:tcPr>
          <w:p w:rsidR="00224913" w:rsidRPr="00F66EF1" w:rsidRDefault="00FB2778">
            <w:pPr>
              <w:rPr>
                <w:sz w:val="20"/>
                <w:szCs w:val="20"/>
              </w:rPr>
            </w:pPr>
            <w:r w:rsidRPr="00F66EF1">
              <w:rPr>
                <w:sz w:val="20"/>
                <w:szCs w:val="20"/>
              </w:rPr>
              <w:t>Déchets municipaux biodégradables produits en 1995, ou au cours de la dernière année avant 1995 pour laquelle on dispose de données normalisées d'Eurostat, ou durant l’année définie dans les traités d’adhésion respectifs des États membres ayant adhéré à l’Union européenne après l’adoption de la directive 1999/31/CE du Conseil</w:t>
            </w:r>
            <w:r w:rsidRPr="00F66EF1">
              <w:rPr>
                <w:rStyle w:val="FootnoteReference"/>
                <w:sz w:val="20"/>
                <w:szCs w:val="20"/>
              </w:rPr>
              <w:footnoteReference w:id="1"/>
            </w:r>
          </w:p>
        </w:tc>
        <w:tc>
          <w:tcPr>
            <w:tcW w:w="2660" w:type="dxa"/>
          </w:tcPr>
          <w:p w:rsidR="00224913" w:rsidRPr="00F66EF1" w:rsidRDefault="00FB2778">
            <w:pPr>
              <w:rPr>
                <w:sz w:val="20"/>
                <w:szCs w:val="20"/>
              </w:rPr>
            </w:pPr>
            <w:r w:rsidRPr="00F66EF1">
              <w:rPr>
                <w:sz w:val="20"/>
                <w:szCs w:val="20"/>
              </w:rPr>
              <w:t>Déchets municipaux biodégradables mis en décharge au cours de l’année de référence</w:t>
            </w:r>
          </w:p>
        </w:tc>
      </w:tr>
      <w:tr w:rsidR="00224913" w:rsidRPr="00F66EF1" w:rsidTr="00703709">
        <w:tc>
          <w:tcPr>
            <w:tcW w:w="3227" w:type="dxa"/>
          </w:tcPr>
          <w:p w:rsidR="00224913" w:rsidRPr="00F66EF1" w:rsidRDefault="006D374B">
            <w:pPr>
              <w:jc w:val="center"/>
              <w:rPr>
                <w:sz w:val="20"/>
                <w:szCs w:val="20"/>
              </w:rPr>
            </w:pPr>
            <w:r w:rsidRPr="00F66EF1">
              <w:rPr>
                <w:sz w:val="20"/>
                <w:szCs w:val="20"/>
              </w:rPr>
              <w:t>Année</w:t>
            </w:r>
          </w:p>
        </w:tc>
        <w:tc>
          <w:tcPr>
            <w:tcW w:w="3402" w:type="dxa"/>
          </w:tcPr>
          <w:p w:rsidR="00224913" w:rsidRPr="00F66EF1" w:rsidRDefault="006D374B">
            <w:pPr>
              <w:jc w:val="center"/>
              <w:rPr>
                <w:sz w:val="20"/>
                <w:szCs w:val="20"/>
              </w:rPr>
            </w:pPr>
            <w:r w:rsidRPr="00F66EF1">
              <w:rPr>
                <w:sz w:val="20"/>
                <w:szCs w:val="20"/>
              </w:rPr>
              <w:t>(t)</w:t>
            </w:r>
          </w:p>
        </w:tc>
        <w:tc>
          <w:tcPr>
            <w:tcW w:w="2660" w:type="dxa"/>
          </w:tcPr>
          <w:p w:rsidR="00224913" w:rsidRPr="00F66EF1" w:rsidRDefault="006D374B">
            <w:pPr>
              <w:jc w:val="center"/>
              <w:rPr>
                <w:sz w:val="20"/>
                <w:szCs w:val="20"/>
              </w:rPr>
            </w:pPr>
            <w:r w:rsidRPr="00F66EF1">
              <w:rPr>
                <w:sz w:val="20"/>
                <w:szCs w:val="20"/>
              </w:rPr>
              <w:t>(t)</w:t>
            </w:r>
          </w:p>
        </w:tc>
      </w:tr>
      <w:tr w:rsidR="00224913" w:rsidRPr="00F66EF1" w:rsidTr="00703709">
        <w:tc>
          <w:tcPr>
            <w:tcW w:w="3227" w:type="dxa"/>
          </w:tcPr>
          <w:p w:rsidR="00224913" w:rsidRPr="00800AC8" w:rsidRDefault="00BE3651">
            <w:pPr>
              <w:rPr>
                <w:sz w:val="20"/>
                <w:szCs w:val="20"/>
              </w:rPr>
            </w:pPr>
            <w:r w:rsidRPr="00800AC8">
              <w:rPr>
                <w:sz w:val="20"/>
                <w:szCs w:val="20"/>
              </w:rPr>
              <w:t>1995</w:t>
            </w:r>
          </w:p>
        </w:tc>
        <w:tc>
          <w:tcPr>
            <w:tcW w:w="3402" w:type="dxa"/>
          </w:tcPr>
          <w:p w:rsidR="00224913" w:rsidRPr="00800AC8" w:rsidRDefault="00BE3651">
            <w:pPr>
              <w:rPr>
                <w:sz w:val="20"/>
                <w:szCs w:val="20"/>
              </w:rPr>
            </w:pPr>
            <w:r w:rsidRPr="00800AC8">
              <w:rPr>
                <w:sz w:val="20"/>
                <w:szCs w:val="20"/>
              </w:rPr>
              <w:t>146.646,62</w:t>
            </w:r>
          </w:p>
        </w:tc>
        <w:tc>
          <w:tcPr>
            <w:tcW w:w="2660" w:type="dxa"/>
          </w:tcPr>
          <w:p w:rsidR="00224913" w:rsidRPr="00800AC8" w:rsidRDefault="000837FA">
            <w:pPr>
              <w:rPr>
                <w:sz w:val="20"/>
                <w:szCs w:val="20"/>
              </w:rPr>
            </w:pPr>
            <w:r w:rsidRPr="00800AC8">
              <w:rPr>
                <w:sz w:val="20"/>
                <w:szCs w:val="20"/>
              </w:rPr>
              <w:t>7.</w:t>
            </w:r>
            <w:r w:rsidR="008126D7">
              <w:rPr>
                <w:sz w:val="20"/>
                <w:szCs w:val="20"/>
              </w:rPr>
              <w:t>617</w:t>
            </w:r>
            <w:r w:rsidRPr="00800AC8">
              <w:rPr>
                <w:sz w:val="20"/>
                <w:szCs w:val="20"/>
              </w:rPr>
              <w:t>,</w:t>
            </w:r>
            <w:r w:rsidR="008126D7">
              <w:rPr>
                <w:sz w:val="20"/>
                <w:szCs w:val="20"/>
              </w:rPr>
              <w:t>98</w:t>
            </w:r>
            <w:r w:rsidR="00BE3651" w:rsidRPr="00800AC8">
              <w:rPr>
                <w:sz w:val="20"/>
                <w:szCs w:val="20"/>
              </w:rPr>
              <w:t xml:space="preserve"> en 2016</w:t>
            </w:r>
          </w:p>
          <w:p w:rsidR="00BE3651" w:rsidRDefault="000837FA">
            <w:pPr>
              <w:rPr>
                <w:sz w:val="20"/>
                <w:szCs w:val="20"/>
              </w:rPr>
            </w:pPr>
            <w:r w:rsidRPr="00800AC8">
              <w:rPr>
                <w:sz w:val="20"/>
                <w:szCs w:val="20"/>
              </w:rPr>
              <w:t>7.</w:t>
            </w:r>
            <w:r w:rsidR="008126D7">
              <w:rPr>
                <w:sz w:val="20"/>
                <w:szCs w:val="20"/>
              </w:rPr>
              <w:t>377</w:t>
            </w:r>
            <w:r w:rsidRPr="00800AC8">
              <w:rPr>
                <w:sz w:val="20"/>
                <w:szCs w:val="20"/>
              </w:rPr>
              <w:t>,</w:t>
            </w:r>
            <w:r w:rsidR="008126D7">
              <w:rPr>
                <w:sz w:val="20"/>
                <w:szCs w:val="20"/>
              </w:rPr>
              <w:t>73</w:t>
            </w:r>
            <w:r w:rsidR="00BE3651" w:rsidRPr="00800AC8">
              <w:rPr>
                <w:sz w:val="20"/>
                <w:szCs w:val="20"/>
              </w:rPr>
              <w:t xml:space="preserve"> en 2017</w:t>
            </w:r>
          </w:p>
          <w:p w:rsidR="002C4044" w:rsidRDefault="002C4044">
            <w:pPr>
              <w:rPr>
                <w:sz w:val="20"/>
                <w:szCs w:val="20"/>
              </w:rPr>
            </w:pPr>
            <w:r w:rsidRPr="00800AC8">
              <w:rPr>
                <w:sz w:val="20"/>
                <w:szCs w:val="20"/>
              </w:rPr>
              <w:t>7.</w:t>
            </w:r>
            <w:r w:rsidR="008126D7">
              <w:rPr>
                <w:sz w:val="20"/>
                <w:szCs w:val="20"/>
              </w:rPr>
              <w:t>045</w:t>
            </w:r>
            <w:r w:rsidRPr="00800AC8">
              <w:rPr>
                <w:sz w:val="20"/>
                <w:szCs w:val="20"/>
              </w:rPr>
              <w:t>,</w:t>
            </w:r>
            <w:r w:rsidR="008126D7">
              <w:rPr>
                <w:sz w:val="20"/>
                <w:szCs w:val="20"/>
              </w:rPr>
              <w:t>11</w:t>
            </w:r>
            <w:r w:rsidRPr="00800AC8">
              <w:rPr>
                <w:sz w:val="20"/>
                <w:szCs w:val="20"/>
              </w:rPr>
              <w:t xml:space="preserve"> en 201</w:t>
            </w:r>
            <w:r>
              <w:rPr>
                <w:sz w:val="20"/>
                <w:szCs w:val="20"/>
              </w:rPr>
              <w:t>8</w:t>
            </w:r>
          </w:p>
          <w:p w:rsidR="002C4044" w:rsidRDefault="008126D7">
            <w:pPr>
              <w:rPr>
                <w:sz w:val="20"/>
                <w:szCs w:val="20"/>
              </w:rPr>
            </w:pPr>
            <w:r w:rsidRPr="00800AC8">
              <w:rPr>
                <w:sz w:val="20"/>
                <w:szCs w:val="20"/>
              </w:rPr>
              <w:t>7.</w:t>
            </w:r>
            <w:r>
              <w:rPr>
                <w:sz w:val="20"/>
                <w:szCs w:val="20"/>
              </w:rPr>
              <w:t>297</w:t>
            </w:r>
            <w:r w:rsidRPr="00800AC8">
              <w:rPr>
                <w:sz w:val="20"/>
                <w:szCs w:val="20"/>
              </w:rPr>
              <w:t>,</w:t>
            </w:r>
            <w:r>
              <w:rPr>
                <w:sz w:val="20"/>
                <w:szCs w:val="20"/>
              </w:rPr>
              <w:t>89</w:t>
            </w:r>
            <w:r w:rsidRPr="00800AC8">
              <w:rPr>
                <w:sz w:val="20"/>
                <w:szCs w:val="20"/>
              </w:rPr>
              <w:t xml:space="preserve"> en 201</w:t>
            </w:r>
            <w:r>
              <w:rPr>
                <w:sz w:val="20"/>
                <w:szCs w:val="20"/>
              </w:rPr>
              <w:t>9</w:t>
            </w:r>
          </w:p>
          <w:p w:rsidR="008126D7" w:rsidRPr="00800AC8" w:rsidRDefault="008126D7" w:rsidP="008126D7">
            <w:pPr>
              <w:rPr>
                <w:sz w:val="20"/>
                <w:szCs w:val="20"/>
              </w:rPr>
            </w:pPr>
            <w:r>
              <w:rPr>
                <w:sz w:val="20"/>
                <w:szCs w:val="20"/>
              </w:rPr>
              <w:t>4</w:t>
            </w:r>
            <w:r w:rsidRPr="00800AC8">
              <w:rPr>
                <w:sz w:val="20"/>
                <w:szCs w:val="20"/>
              </w:rPr>
              <w:t>.</w:t>
            </w:r>
            <w:r>
              <w:rPr>
                <w:sz w:val="20"/>
                <w:szCs w:val="20"/>
              </w:rPr>
              <w:t>733</w:t>
            </w:r>
            <w:r w:rsidRPr="00800AC8">
              <w:rPr>
                <w:sz w:val="20"/>
                <w:szCs w:val="20"/>
              </w:rPr>
              <w:t>,</w:t>
            </w:r>
            <w:r>
              <w:rPr>
                <w:sz w:val="20"/>
                <w:szCs w:val="20"/>
              </w:rPr>
              <w:t>90</w:t>
            </w:r>
            <w:r w:rsidRPr="00800AC8">
              <w:rPr>
                <w:sz w:val="20"/>
                <w:szCs w:val="20"/>
              </w:rPr>
              <w:t xml:space="preserve"> en 20</w:t>
            </w:r>
            <w:r>
              <w:rPr>
                <w:sz w:val="20"/>
                <w:szCs w:val="20"/>
              </w:rPr>
              <w:t>20</w:t>
            </w:r>
          </w:p>
        </w:tc>
      </w:tr>
    </w:tbl>
    <w:p w:rsidR="00224913" w:rsidRPr="00F66EF1" w:rsidRDefault="005F2871">
      <w:pPr>
        <w:pStyle w:val="Heading1"/>
        <w:numPr>
          <w:ilvl w:val="0"/>
          <w:numId w:val="1"/>
        </w:numPr>
        <w:rPr>
          <w:smallCaps w:val="0"/>
        </w:rPr>
      </w:pPr>
      <w:r w:rsidRPr="00F66EF1">
        <w:rPr>
          <w:smallCaps w:val="0"/>
        </w:rPr>
        <w:t xml:space="preserve">Modèle de présentation du rapport de contrôle de la qualité accompagnant les données </w:t>
      </w:r>
    </w:p>
    <w:p w:rsidR="00224913" w:rsidRPr="00F66EF1" w:rsidRDefault="005F2871">
      <w:pPr>
        <w:pStyle w:val="ManualHeading1"/>
      </w:pPr>
      <w:r w:rsidRPr="00F66EF1">
        <w:t>I. Informations générales</w:t>
      </w:r>
    </w:p>
    <w:p w:rsidR="00224913" w:rsidRPr="00F66EF1" w:rsidRDefault="00666219">
      <w:pPr>
        <w:pStyle w:val="NumPar1"/>
        <w:numPr>
          <w:ilvl w:val="0"/>
          <w:numId w:val="3"/>
        </w:numPr>
        <w:spacing w:before="0" w:after="0"/>
      </w:pPr>
      <w:r w:rsidRPr="00F66EF1">
        <w:t xml:space="preserve">État membre: </w:t>
      </w:r>
      <w:r w:rsidR="00BE3651">
        <w:t>Luxembourg</w:t>
      </w:r>
    </w:p>
    <w:p w:rsidR="00224913" w:rsidRPr="00F66EF1" w:rsidRDefault="00666219">
      <w:pPr>
        <w:pStyle w:val="NumPar1"/>
        <w:spacing w:before="0" w:after="0"/>
        <w:ind w:left="851" w:hanging="851"/>
      </w:pPr>
      <w:r w:rsidRPr="00F66EF1">
        <w:t>Organisation présentant les données et la description:</w:t>
      </w:r>
      <w:r w:rsidR="00BE3651">
        <w:t xml:space="preserve"> Administration de l’environnement </w:t>
      </w:r>
    </w:p>
    <w:p w:rsidR="00224913" w:rsidRPr="00F66EF1" w:rsidRDefault="00666219">
      <w:pPr>
        <w:pStyle w:val="NumPar1"/>
        <w:spacing w:before="0" w:after="0"/>
        <w:ind w:left="851" w:hanging="851"/>
      </w:pPr>
      <w:r w:rsidRPr="00F66EF1">
        <w:t>Personne de contact/coordonnées:</w:t>
      </w:r>
      <w:r w:rsidR="00BE3651">
        <w:t xml:space="preserve"> Tim Mirgain (</w:t>
      </w:r>
      <w:hyperlink r:id="rId8" w:history="1">
        <w:r w:rsidR="00BE3651" w:rsidRPr="00353402">
          <w:rPr>
            <w:rStyle w:val="Hyperlink"/>
          </w:rPr>
          <w:t>tim.mirgain@aev.etat.lu</w:t>
        </w:r>
      </w:hyperlink>
      <w:r w:rsidR="00BE3651">
        <w:t>) / Stephanie Goergen (</w:t>
      </w:r>
      <w:hyperlink r:id="rId9" w:history="1">
        <w:r w:rsidR="00BE3651" w:rsidRPr="00353402">
          <w:rPr>
            <w:rStyle w:val="Hyperlink"/>
          </w:rPr>
          <w:t>stephanie.goergen@aev.etat.lu</w:t>
        </w:r>
      </w:hyperlink>
      <w:r w:rsidR="00BE3651">
        <w:t xml:space="preserve">) </w:t>
      </w:r>
    </w:p>
    <w:p w:rsidR="00224913" w:rsidRPr="00F66EF1" w:rsidRDefault="001346FB">
      <w:pPr>
        <w:pStyle w:val="NumPar1"/>
        <w:spacing w:before="0" w:after="0"/>
        <w:ind w:left="851" w:hanging="851"/>
      </w:pPr>
      <w:r w:rsidRPr="00F66EF1">
        <w:t>Année de référence:</w:t>
      </w:r>
      <w:r w:rsidR="00BE3651">
        <w:t xml:space="preserve"> 2016</w:t>
      </w:r>
      <w:r w:rsidR="00076DB4">
        <w:t>-2019</w:t>
      </w:r>
    </w:p>
    <w:p w:rsidR="00224913" w:rsidRPr="00F66EF1" w:rsidRDefault="00666219">
      <w:pPr>
        <w:pStyle w:val="NumPar1"/>
        <w:spacing w:before="0" w:after="0"/>
        <w:ind w:left="851" w:hanging="851"/>
      </w:pPr>
      <w:r w:rsidRPr="00F66EF1">
        <w:t>Date de livraison/version:</w:t>
      </w:r>
      <w:r w:rsidR="00BE3651">
        <w:t xml:space="preserve"> 23/</w:t>
      </w:r>
      <w:r w:rsidR="002C4044">
        <w:t>04</w:t>
      </w:r>
      <w:r w:rsidR="00BE3651">
        <w:t>/20</w:t>
      </w:r>
      <w:r w:rsidR="002C4044">
        <w:t>21</w:t>
      </w:r>
    </w:p>
    <w:p w:rsidR="00224913" w:rsidRPr="00F66EF1" w:rsidRDefault="00666219">
      <w:pPr>
        <w:pStyle w:val="NumPar1"/>
        <w:spacing w:before="0" w:after="0"/>
        <w:ind w:left="851" w:hanging="851"/>
      </w:pPr>
      <w:r w:rsidRPr="00F66EF1">
        <w:t xml:space="preserve">Lien vers les données publiées par l'État membre (le cas échéant): </w:t>
      </w:r>
      <w:hyperlink r:id="rId10" w:history="1">
        <w:r w:rsidR="00BE3651">
          <w:rPr>
            <w:rStyle w:val="Hyperlink"/>
          </w:rPr>
          <w:t>https://data.public.lu/en/organizations/administration-de-lenvironnement/</w:t>
        </w:r>
      </w:hyperlink>
    </w:p>
    <w:p w:rsidR="00224913" w:rsidRPr="00F66EF1" w:rsidRDefault="005F2871">
      <w:pPr>
        <w:pStyle w:val="ManualHeading1"/>
      </w:pPr>
      <w:r w:rsidRPr="00F66EF1">
        <w:t>II. Informations sur la mise en décharge de déchets municipaux biodégradables</w:t>
      </w:r>
    </w:p>
    <w:p w:rsidR="00224913" w:rsidRPr="00F66EF1" w:rsidRDefault="00504A73">
      <w:pPr>
        <w:pStyle w:val="NumPar1"/>
        <w:numPr>
          <w:ilvl w:val="0"/>
          <w:numId w:val="10"/>
        </w:numPr>
      </w:pPr>
      <w:r w:rsidRPr="00F66EF1">
        <w:t xml:space="preserve">Description de l’organisation de la collecte de données, des sources de données et de la méthode utilisée </w:t>
      </w:r>
    </w:p>
    <w:tbl>
      <w:tblPr>
        <w:tblStyle w:val="TableGrid"/>
        <w:tblW w:w="0" w:type="auto"/>
        <w:tblLook w:val="04A0" w:firstRow="1" w:lastRow="0" w:firstColumn="1" w:lastColumn="0" w:noHBand="0" w:noVBand="1"/>
      </w:tblPr>
      <w:tblGrid>
        <w:gridCol w:w="9063"/>
      </w:tblGrid>
      <w:tr w:rsidR="00224913" w:rsidRPr="00F66EF1" w:rsidTr="00504A73">
        <w:tc>
          <w:tcPr>
            <w:tcW w:w="9289" w:type="dxa"/>
          </w:tcPr>
          <w:p w:rsidR="00060003" w:rsidRDefault="00060003">
            <w:r>
              <w:t>Les données sont collectées au moyen des rapports annuels tels que prévus à l’article 35 de la loi modifiée du 21 mars 2012 relative à la gestion des déchets.</w:t>
            </w:r>
          </w:p>
          <w:p w:rsidR="00060003" w:rsidRDefault="00060003" w:rsidP="00060003">
            <w:r>
              <w:t xml:space="preserve">L’ensemble des déchets municipaux produits au Luxembourg sont éliminés en fonction de leur origine soit par mise en décharge sur la décharge du syndicat intercommunal SIGRE, soit par valorisation énergétique dans l’installation d’incinération du syndicat intercommunal SIDOR. Pour les besoins de la présente, seuls les déchets déposés à la décharge du SIGRE </w:t>
            </w:r>
            <w:r>
              <w:lastRenderedPageBreak/>
              <w:t>sont pris en compte. Il n’existe aucune autre décharge au Luxembourg qui accepte des déchets contenant des déchets municipaux biodégradables.</w:t>
            </w:r>
          </w:p>
          <w:p w:rsidR="00060003" w:rsidRDefault="00060003" w:rsidP="00060003">
            <w:r w:rsidRPr="00BA615C">
              <w:t xml:space="preserve">Afin de garantir l’élimination des déchets à moyen et à long terme, le 15 juillet 2013, les trois syndicats intercommunaux SIDEC, SIDOR et SIGRE ont conclu un contrat de coopération à long terme, visant une exploitation intersyndicale de leurs infrastructures respectives. Cette coopération règle et pérennise l’élimination des déchets au niveau national. Cette coopération prévoit que les déchets à haut pouvoir calorifique, provenant des communes membres du SIDEC et séparés préalablement dans l’installation de traitement mécano-biologique au </w:t>
            </w:r>
            <w:proofErr w:type="spellStart"/>
            <w:r w:rsidRPr="00BA615C">
              <w:t>Fridhaff</w:t>
            </w:r>
            <w:proofErr w:type="spellEnd"/>
            <w:r w:rsidRPr="00BA615C">
              <w:t xml:space="preserve">, soient incinérés avec les déchets des deux autres syndicats dans les installations du SIDOR. Les déchets stabilisés biologiquement, toujours à l’installation du </w:t>
            </w:r>
            <w:proofErr w:type="spellStart"/>
            <w:r w:rsidRPr="00BA615C">
              <w:t>Fridhaff</w:t>
            </w:r>
            <w:proofErr w:type="spellEnd"/>
            <w:r w:rsidRPr="00BA615C">
              <w:t xml:space="preserve">, sont quant à eux soumis à un compostage supplémentaire et mis en décharge au site du </w:t>
            </w:r>
            <w:r>
              <w:t>SIGRE</w:t>
            </w:r>
            <w:r w:rsidRPr="00BA615C">
              <w:t xml:space="preserve"> près de Flaxweiler. En ce qui concerne les déchets provenant de la région du SIGRE, ils sont directement transférés vers l’installation d’incinération du SIDOR.</w:t>
            </w:r>
          </w:p>
          <w:p w:rsidR="009C432A" w:rsidRDefault="00060003" w:rsidP="009C432A">
            <w:r>
              <w:t>Pour calculer les déchets biodégradables contenus dans les déchets municipaux mis en décharge, il y a lieu de tenir compte de la part des fractions biodégradables contenues dans les différentes catégories de déchets municipaux à savoir les déchets ménagers et les déchets assimilés. Il est supposé que la part des fractions de déchets biodégradables contenues dans les différentes catégories de déchets municipaux est celle déterminée dans le cadre de l’analyse sur la composition des déchets ménagers et assimilés effectuée en 2013/2014</w:t>
            </w:r>
            <w:r w:rsidR="0091157B">
              <w:t xml:space="preserve"> et 2018/2019</w:t>
            </w:r>
            <w:r w:rsidR="00C52749">
              <w:t xml:space="preserve">, à savoir </w:t>
            </w:r>
            <w:r w:rsidR="00C52749" w:rsidRPr="00C52749">
              <w:t>5</w:t>
            </w:r>
            <w:r w:rsidR="0091157B">
              <w:t>3</w:t>
            </w:r>
            <w:r w:rsidR="00C52749" w:rsidRPr="00C52749">
              <w:t>,</w:t>
            </w:r>
            <w:r w:rsidR="0091157B">
              <w:t>2</w:t>
            </w:r>
            <w:r w:rsidR="000837FA">
              <w:t xml:space="preserve">% </w:t>
            </w:r>
            <w:r w:rsidR="0091157B">
              <w:t xml:space="preserve">et 52.6% </w:t>
            </w:r>
            <w:r w:rsidR="000837FA" w:rsidRPr="000837FA">
              <w:t>%-poids part biodégradable</w:t>
            </w:r>
            <w:r w:rsidR="000837FA">
              <w:t>.</w:t>
            </w:r>
            <w:r w:rsidR="002C4044">
              <w:t xml:space="preserve"> </w:t>
            </w:r>
          </w:p>
          <w:p w:rsidR="00060003" w:rsidRPr="00F66EF1" w:rsidRDefault="00060003" w:rsidP="009C432A">
            <w:r>
              <w:t xml:space="preserve">Les déchets encombrants ne sont pas </w:t>
            </w:r>
            <w:r w:rsidR="004E2C3C">
              <w:t>pris en considération puisqu’ils</w:t>
            </w:r>
            <w:r>
              <w:t xml:space="preserve"> sont exclusivement valorisés énergétiquement. </w:t>
            </w:r>
          </w:p>
        </w:tc>
      </w:tr>
    </w:tbl>
    <w:p w:rsidR="00224913" w:rsidRPr="00F66EF1" w:rsidRDefault="006E464A">
      <w:pPr>
        <w:pStyle w:val="NumPar1"/>
        <w:numPr>
          <w:ilvl w:val="0"/>
          <w:numId w:val="10"/>
        </w:numPr>
      </w:pPr>
      <w:r w:rsidRPr="00F66EF1">
        <w:lastRenderedPageBreak/>
        <w:t>Description des types de déchets classés à l’échelon national comme déchets municipaux biodégradables</w:t>
      </w:r>
    </w:p>
    <w:tbl>
      <w:tblPr>
        <w:tblStyle w:val="TableGrid"/>
        <w:tblW w:w="0" w:type="auto"/>
        <w:tblLook w:val="04A0" w:firstRow="1" w:lastRow="0" w:firstColumn="1" w:lastColumn="0" w:noHBand="0" w:noVBand="1"/>
      </w:tblPr>
      <w:tblGrid>
        <w:gridCol w:w="9063"/>
      </w:tblGrid>
      <w:tr w:rsidR="00224913" w:rsidRPr="00F66EF1" w:rsidTr="006E464A">
        <w:tc>
          <w:tcPr>
            <w:tcW w:w="9289" w:type="dxa"/>
          </w:tcPr>
          <w:p w:rsidR="00224913" w:rsidRPr="00F66EF1" w:rsidRDefault="004E2C3C">
            <w:pPr>
              <w:pStyle w:val="Text1"/>
              <w:ind w:left="0"/>
            </w:pPr>
            <w:r>
              <w:t>Les déchets municipaux sont définis à l’article 4 de la loi modifiée du 21 mars 2012 relative à la gestion des déchets. Le terme « déchets biodégradable » est défini au r</w:t>
            </w:r>
            <w:r w:rsidRPr="004E2C3C">
              <w:t xml:space="preserve">èglement grand-ducal </w:t>
            </w:r>
            <w:r>
              <w:t xml:space="preserve">modifié </w:t>
            </w:r>
            <w:r w:rsidRPr="004E2C3C">
              <w:t xml:space="preserve">du 24 février 2003 concernant la mise en décharge des déchets. </w:t>
            </w:r>
            <w:r w:rsidR="00060003">
              <w:t>Puisqu’au</w:t>
            </w:r>
            <w:r>
              <w:t>cun</w:t>
            </w:r>
            <w:r w:rsidR="00060003">
              <w:t xml:space="preserve"> déchet municipal n’est mis en </w:t>
            </w:r>
            <w:r>
              <w:t>décharge sans prétraitement</w:t>
            </w:r>
            <w:r w:rsidR="00B140FC">
              <w:t xml:space="preserve"> (</w:t>
            </w:r>
            <w:r w:rsidR="00B140FC" w:rsidRPr="00BA615C">
              <w:t>traitement mécano-biologique</w:t>
            </w:r>
            <w:r w:rsidR="00B140FC">
              <w:t xml:space="preserve"> et compostage supplémentaire avant mis en décharge)</w:t>
            </w:r>
            <w:r>
              <w:t>, les seuls déchets à considérer comme déchets municipaux biodégradables mis en décharge sans l</w:t>
            </w:r>
            <w:r w:rsidR="00B140FC">
              <w:t xml:space="preserve">a fraction non compostée des déchets municipaux et assimilés (Code CED </w:t>
            </w:r>
            <w:r>
              <w:t>19 05 01</w:t>
            </w:r>
            <w:r w:rsidR="00B140FC">
              <w:t>)</w:t>
            </w:r>
            <w:r>
              <w:t>.</w:t>
            </w:r>
          </w:p>
        </w:tc>
      </w:tr>
    </w:tbl>
    <w:p w:rsidR="00224913" w:rsidRPr="00F66EF1" w:rsidRDefault="00504A73">
      <w:pPr>
        <w:pStyle w:val="NumPar1"/>
        <w:numPr>
          <w:ilvl w:val="0"/>
          <w:numId w:val="10"/>
        </w:numPr>
      </w:pPr>
      <w:r w:rsidRPr="00F66EF1">
        <w:t xml:space="preserve">Description d’éventuelles estimations utilisées pour combler les lacunes constatées dans les données </w:t>
      </w:r>
    </w:p>
    <w:tbl>
      <w:tblPr>
        <w:tblStyle w:val="TableGrid"/>
        <w:tblW w:w="0" w:type="auto"/>
        <w:tblLook w:val="04A0" w:firstRow="1" w:lastRow="0" w:firstColumn="1" w:lastColumn="0" w:noHBand="0" w:noVBand="1"/>
      </w:tblPr>
      <w:tblGrid>
        <w:gridCol w:w="9063"/>
      </w:tblGrid>
      <w:tr w:rsidR="00224913" w:rsidRPr="00F66EF1" w:rsidTr="006D374B">
        <w:tc>
          <w:tcPr>
            <w:tcW w:w="9289" w:type="dxa"/>
          </w:tcPr>
          <w:p w:rsidR="00224913" w:rsidRPr="00F66EF1" w:rsidRDefault="004E2C3C">
            <w:pPr>
              <w:pStyle w:val="Text1"/>
              <w:ind w:left="0"/>
            </w:pPr>
            <w:r w:rsidRPr="00BA615C">
              <w:t xml:space="preserve">Les déchets stabilisés biologiquement </w:t>
            </w:r>
            <w:r>
              <w:t xml:space="preserve">dans </w:t>
            </w:r>
            <w:r w:rsidRPr="00BA615C">
              <w:t>l’installation de traitement mécano-biologique</w:t>
            </w:r>
            <w:r w:rsidR="00B140FC">
              <w:t xml:space="preserve"> et soumis à un compostage supplémentaire avant mise en décharge</w:t>
            </w:r>
            <w:r>
              <w:t xml:space="preserve"> (19 05 01) sont assimilés aux déchets municipaux biodégradables (20 03 01).</w:t>
            </w:r>
          </w:p>
        </w:tc>
      </w:tr>
    </w:tbl>
    <w:p w:rsidR="00224913" w:rsidRPr="00F66EF1" w:rsidRDefault="00504A73">
      <w:pPr>
        <w:pStyle w:val="NumPar1"/>
        <w:numPr>
          <w:ilvl w:val="0"/>
          <w:numId w:val="10"/>
        </w:numPr>
      </w:pPr>
      <w:r w:rsidRPr="00F66EF1">
        <w:t>Explications des différences significatives observées par rapport aux données de l’année de référence antérieure</w:t>
      </w:r>
    </w:p>
    <w:tbl>
      <w:tblPr>
        <w:tblStyle w:val="TableGrid"/>
        <w:tblW w:w="0" w:type="auto"/>
        <w:tblLook w:val="04A0" w:firstRow="1" w:lastRow="0" w:firstColumn="1" w:lastColumn="0" w:noHBand="0" w:noVBand="1"/>
      </w:tblPr>
      <w:tblGrid>
        <w:gridCol w:w="9063"/>
      </w:tblGrid>
      <w:tr w:rsidR="00224913" w:rsidRPr="00F66EF1" w:rsidTr="006D374B">
        <w:tc>
          <w:tcPr>
            <w:tcW w:w="9289" w:type="dxa"/>
          </w:tcPr>
          <w:p w:rsidR="00BE3651" w:rsidRDefault="00BE3651">
            <w:pPr>
              <w:pStyle w:val="Text1"/>
              <w:ind w:left="0"/>
            </w:pPr>
            <w:r w:rsidRPr="00BE3651">
              <w:t>Depuis le 1er janvier 2015, le Luxembourg ne dispose plus que d’une seule décharge pour déchets non dangereux destinée à éliminer des déchets ménagers, encombrants et assimilés</w:t>
            </w:r>
            <w:r>
              <w:t>.</w:t>
            </w:r>
          </w:p>
          <w:p w:rsidR="00B140FC" w:rsidRPr="00F66EF1" w:rsidRDefault="00B140FC">
            <w:pPr>
              <w:pStyle w:val="Text1"/>
              <w:ind w:left="0"/>
            </w:pPr>
            <w:r>
              <w:t xml:space="preserve">Le </w:t>
            </w:r>
            <w:r w:rsidRPr="00B140FC">
              <w:t>contrat de coopération à long terme</w:t>
            </w:r>
            <w:r>
              <w:t xml:space="preserve"> d</w:t>
            </w:r>
            <w:r w:rsidRPr="00B140FC">
              <w:t>es trois syndicats intercommunaux SIDEC, SIDOR et SIGRE</w:t>
            </w:r>
            <w:r>
              <w:t xml:space="preserve"> </w:t>
            </w:r>
            <w:r w:rsidRPr="00B140FC">
              <w:t>règle et pérennise l’élimination des déchets au niveau national.</w:t>
            </w:r>
          </w:p>
        </w:tc>
      </w:tr>
    </w:tbl>
    <w:p w:rsidR="00224913" w:rsidRPr="00F66EF1" w:rsidRDefault="00504A73">
      <w:pPr>
        <w:pStyle w:val="NumPar1"/>
        <w:numPr>
          <w:ilvl w:val="0"/>
          <w:numId w:val="10"/>
        </w:numPr>
      </w:pPr>
      <w:r w:rsidRPr="00F66EF1">
        <w:lastRenderedPageBreak/>
        <w:t>Description des principaux problèmes affectant l’exactitude des données</w:t>
      </w:r>
    </w:p>
    <w:tbl>
      <w:tblPr>
        <w:tblStyle w:val="TableGrid"/>
        <w:tblW w:w="0" w:type="auto"/>
        <w:tblLook w:val="04A0" w:firstRow="1" w:lastRow="0" w:firstColumn="1" w:lastColumn="0" w:noHBand="0" w:noVBand="1"/>
      </w:tblPr>
      <w:tblGrid>
        <w:gridCol w:w="9063"/>
      </w:tblGrid>
      <w:tr w:rsidR="00224913" w:rsidRPr="00F66EF1" w:rsidTr="006D374B">
        <w:tc>
          <w:tcPr>
            <w:tcW w:w="9289" w:type="dxa"/>
          </w:tcPr>
          <w:p w:rsidR="00D975A5" w:rsidRDefault="004E2C3C" w:rsidP="00D975A5">
            <w:r>
              <w:t xml:space="preserve">Le </w:t>
            </w:r>
            <w:r w:rsidRPr="004E2C3C">
              <w:t xml:space="preserve">%-poids </w:t>
            </w:r>
            <w:r>
              <w:t xml:space="preserve">de </w:t>
            </w:r>
            <w:r w:rsidRPr="004E2C3C">
              <w:t>part biodégradable</w:t>
            </w:r>
            <w:r>
              <w:t xml:space="preserve"> dans la fraction 19 05 01 n’est pas déterminée. </w:t>
            </w:r>
            <w:r w:rsidR="00D975A5">
              <w:t xml:space="preserve">D’un côté le traitement mécanique augmente le pourcentage de la matière organique et d’un autre côté le compostage diminue le pourcentage de la matière biodégradable. </w:t>
            </w:r>
            <w:r>
              <w:t xml:space="preserve">Ainsi </w:t>
            </w:r>
            <w:r w:rsidR="008126D7">
              <w:t>la</w:t>
            </w:r>
            <w:r>
              <w:t xml:space="preserve"> part biodégradable </w:t>
            </w:r>
            <w:r w:rsidR="008126D7">
              <w:t>des analyses de déchets résiduels</w:t>
            </w:r>
            <w:r>
              <w:t xml:space="preserve"> </w:t>
            </w:r>
            <w:r w:rsidR="008126D7">
              <w:t>a</w:t>
            </w:r>
            <w:r>
              <w:t xml:space="preserve"> été utilisée</w:t>
            </w:r>
            <w:r w:rsidR="000837FA">
              <w:t xml:space="preserve"> (</w:t>
            </w:r>
            <w:r w:rsidR="00F1460B">
              <w:t xml:space="preserve">part biodégradable </w:t>
            </w:r>
            <w:r w:rsidR="000837FA">
              <w:t xml:space="preserve">résultant de </w:t>
            </w:r>
            <w:r w:rsidR="000837FA" w:rsidRPr="000837FA">
              <w:t>l’analyse sur la composition des déchets ménagers et assimilés effectuée en 2013/2014</w:t>
            </w:r>
            <w:r w:rsidR="008126D7">
              <w:t xml:space="preserve"> et 2018/2019</w:t>
            </w:r>
            <w:r w:rsidR="000837FA">
              <w:t>)</w:t>
            </w:r>
            <w:r>
              <w:t xml:space="preserve">. </w:t>
            </w:r>
          </w:p>
          <w:p w:rsidR="008126D7" w:rsidRDefault="008126D7" w:rsidP="00D975A5">
            <w:r>
              <w:t xml:space="preserve">La différence entre 2019 et 2020 résulte du fait que en 2020 l’installation de traitement mécanique et biologique a été hors fonctionnement pendant certains mois dû </w:t>
            </w:r>
            <w:proofErr w:type="gramStart"/>
            <w:r>
              <w:t>à  la</w:t>
            </w:r>
            <w:proofErr w:type="gramEnd"/>
            <w:r>
              <w:t xml:space="preserve"> </w:t>
            </w:r>
            <w:proofErr w:type="spellStart"/>
            <w:r>
              <w:t>pandemie</w:t>
            </w:r>
            <w:proofErr w:type="spellEnd"/>
            <w:r>
              <w:t xml:space="preserve"> du COVID. En effet, pendant cette période, les déchets résiduels sont partis directement à l’installation d’incinération.</w:t>
            </w:r>
            <w:bookmarkStart w:id="0" w:name="_GoBack"/>
            <w:bookmarkEnd w:id="0"/>
          </w:p>
          <w:p w:rsidR="00224913" w:rsidRPr="00F66EF1" w:rsidRDefault="00224913">
            <w:pPr>
              <w:pStyle w:val="Text1"/>
              <w:ind w:left="0"/>
            </w:pPr>
          </w:p>
        </w:tc>
      </w:tr>
    </w:tbl>
    <w:p w:rsidR="00224913" w:rsidRPr="00F66EF1" w:rsidRDefault="00224913" w:rsidP="00435CEB">
      <w:pPr>
        <w:pStyle w:val="Text1"/>
      </w:pPr>
    </w:p>
    <w:sectPr w:rsidR="00224913" w:rsidRPr="00F66EF1" w:rsidSect="006C1014">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913" w:rsidRDefault="005A341B">
      <w:pPr>
        <w:spacing w:before="0" w:after="0"/>
      </w:pPr>
      <w:r>
        <w:separator/>
      </w:r>
    </w:p>
  </w:endnote>
  <w:endnote w:type="continuationSeparator" w:id="0">
    <w:p w:rsidR="00224913" w:rsidRDefault="005A34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F1" w:rsidRPr="006C1014" w:rsidRDefault="006C1014" w:rsidP="006C1014">
    <w:pPr>
      <w:pStyle w:val="Footer"/>
      <w:rPr>
        <w:rFonts w:ascii="Arial" w:hAnsi="Arial" w:cs="Arial"/>
        <w:b/>
        <w:sz w:val="48"/>
      </w:rPr>
    </w:pPr>
    <w:r w:rsidRPr="006C1014">
      <w:rPr>
        <w:rFonts w:ascii="Arial" w:hAnsi="Arial" w:cs="Arial"/>
        <w:b/>
        <w:sz w:val="48"/>
      </w:rPr>
      <w:t>FR</w:t>
    </w:r>
    <w:r w:rsidRPr="006C1014">
      <w:rPr>
        <w:rFonts w:ascii="Arial" w:hAnsi="Arial" w:cs="Arial"/>
        <w:b/>
        <w:sz w:val="48"/>
      </w:rPr>
      <w:tab/>
    </w:r>
    <w:r>
      <w:fldChar w:fldCharType="begin"/>
    </w:r>
    <w:r>
      <w:instrText xml:space="preserve"> PAGE  \* MERGEFORMAT </w:instrText>
    </w:r>
    <w:r>
      <w:fldChar w:fldCharType="separate"/>
    </w:r>
    <w:r w:rsidR="008126D7">
      <w:rPr>
        <w:noProof/>
      </w:rPr>
      <w:t>1</w:t>
    </w:r>
    <w:r>
      <w:fldChar w:fldCharType="end"/>
    </w:r>
    <w:r>
      <w:tab/>
    </w:r>
    <w:r w:rsidRPr="006C1014">
      <w:tab/>
    </w:r>
    <w:r w:rsidRPr="006C1014">
      <w:rPr>
        <w:rFonts w:ascii="Arial" w:hAnsi="Arial" w:cs="Arial"/>
        <w:b/>
        <w:sz w:val="48"/>
      </w:rPr>
      <w:t>FR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014" w:rsidRPr="006C1014" w:rsidRDefault="006C1014" w:rsidP="006C1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913" w:rsidRDefault="005A341B">
      <w:pPr>
        <w:spacing w:before="0" w:after="0"/>
      </w:pPr>
      <w:r>
        <w:separator/>
      </w:r>
    </w:p>
  </w:footnote>
  <w:footnote w:type="continuationSeparator" w:id="0">
    <w:p w:rsidR="00224913" w:rsidRDefault="005A341B">
      <w:pPr>
        <w:spacing w:before="0" w:after="0"/>
      </w:pPr>
      <w:r>
        <w:continuationSeparator/>
      </w:r>
    </w:p>
  </w:footnote>
  <w:footnote w:id="1">
    <w:p w:rsidR="00224913" w:rsidRPr="00F66EF1" w:rsidRDefault="00692DA0">
      <w:pPr>
        <w:pStyle w:val="FootnoteText"/>
        <w:rPr>
          <w:lang w:val="fr-BE"/>
        </w:rPr>
      </w:pPr>
      <w:r>
        <w:rPr>
          <w:rStyle w:val="FootnoteReference"/>
        </w:rPr>
        <w:footnoteRef/>
      </w:r>
      <w:r w:rsidRPr="00F66EF1">
        <w:rPr>
          <w:lang w:val="fr-BE"/>
        </w:rPr>
        <w:tab/>
        <w:t>Directive 1999/31/CE du Conseil du 26 avril 1999 concernant la mise en décharge des déchets (JO L 182 du 16.7.1999,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2EA0DC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74A4B3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6A0EDB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634877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F8AAC3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AF8871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50C9D8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DA67A9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1"/>
  </w:num>
  <w:num w:numId="14">
    <w:abstractNumId w:val="0"/>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QCDateTime" w:val="2019-08-09 16:29: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980C775D-60E6-430E-A081-A1328839CA0D"/>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Bruxelles, le "/>
    <w:docVar w:name="LW_EMISSION_SUFFIX" w:val=" "/>
    <w:docVar w:name="LW_ID_DOCSTRUCTURE" w:val="COM/ANNEX"/>
    <w:docVar w:name="LW_ID_DOCTYPE" w:val="SG-068"/>
    <w:docVar w:name="LW_LANGUE" w:val="FR"/>
    <w:docVar w:name="LW_LEVEL_OF_SENSITIVITY" w:val="Standard treatment"/>
    <w:docVar w:name="LW_NOM.INST" w:val="COMMISSION EUROPÉENNE"/>
    <w:docVar w:name="LW_NOM.INST_JOINTDOC" w:val="&lt;EMPTY&gt;"/>
    <w:docVar w:name="LW_OBJETACTEPRINCIPAL" w:val="&lt;FMT:Bold&gt;établissant les règles concernant le calcul, la vérification et la communication des données relatives à la mise en décharge des déchets municipaux conformément à la directive 1999/31/CE du Conseil et abrogeant la décision 2000/738/CE de la Commission&lt;/FMT&gt;_x000b_"/>
    <w:docVar w:name="LW_OBJETACTEPRINCIPAL.CP" w:val="&lt;FMT:Bold&gt;établissant les règles concernant le calcul, la vérification et la communication des données relatives à la mise en décharge des déchets municipaux conformément à la directive 1999/31/CE du Conseil et abrogeant la décision 2000/738/CE de la Commission&lt;/FMT&gt;_x000b_"/>
    <w:docVar w:name="LW_PART_NBR" w:val="&lt;UNUSED&gt;"/>
    <w:docVar w:name="LW_PART_NBR_TOTAL" w:val="&lt;UNUSED&gt;"/>
    <w:docVar w:name="LW_REF.INST.NEW" w:val="&lt;EMPTY&gt;"/>
    <w:docVar w:name="LW_REF.INST.NEW_ADOPTED" w:val="draft"/>
    <w:docVar w:name="LW_REF.INST.NEW_TEXT" w:val="(2019)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décision d'exécution de la Commission"/>
    <w:docVar w:name="LW_TYPEACTEPRINCIPAL.CP" w:val="décision d'exécution de la Commission"/>
  </w:docVars>
  <w:rsids>
    <w:rsidRoot w:val="00B42C9E"/>
    <w:rsid w:val="000024E6"/>
    <w:rsid w:val="00020C3A"/>
    <w:rsid w:val="000223DC"/>
    <w:rsid w:val="000413A8"/>
    <w:rsid w:val="00047614"/>
    <w:rsid w:val="00060003"/>
    <w:rsid w:val="000632CA"/>
    <w:rsid w:val="00071203"/>
    <w:rsid w:val="00076DB4"/>
    <w:rsid w:val="000809DB"/>
    <w:rsid w:val="00082C0B"/>
    <w:rsid w:val="000837FA"/>
    <w:rsid w:val="00096EB2"/>
    <w:rsid w:val="000B3C31"/>
    <w:rsid w:val="001243C9"/>
    <w:rsid w:val="001346FB"/>
    <w:rsid w:val="00167E07"/>
    <w:rsid w:val="001E6EC2"/>
    <w:rsid w:val="001E7480"/>
    <w:rsid w:val="00224913"/>
    <w:rsid w:val="00232785"/>
    <w:rsid w:val="0024334F"/>
    <w:rsid w:val="00257573"/>
    <w:rsid w:val="002A7DCF"/>
    <w:rsid w:val="002C4044"/>
    <w:rsid w:val="0032509C"/>
    <w:rsid w:val="00331D56"/>
    <w:rsid w:val="003325E8"/>
    <w:rsid w:val="003436CE"/>
    <w:rsid w:val="00352F95"/>
    <w:rsid w:val="00353860"/>
    <w:rsid w:val="00360343"/>
    <w:rsid w:val="00361C95"/>
    <w:rsid w:val="003908F0"/>
    <w:rsid w:val="003C70BF"/>
    <w:rsid w:val="003D385E"/>
    <w:rsid w:val="00415B35"/>
    <w:rsid w:val="00435CEB"/>
    <w:rsid w:val="004569B9"/>
    <w:rsid w:val="004619DB"/>
    <w:rsid w:val="00471AF5"/>
    <w:rsid w:val="004868D3"/>
    <w:rsid w:val="0049026F"/>
    <w:rsid w:val="004D25BD"/>
    <w:rsid w:val="004E2C3C"/>
    <w:rsid w:val="00504A73"/>
    <w:rsid w:val="00553A23"/>
    <w:rsid w:val="005543C3"/>
    <w:rsid w:val="005A341B"/>
    <w:rsid w:val="005B31C8"/>
    <w:rsid w:val="005F1C19"/>
    <w:rsid w:val="005F2871"/>
    <w:rsid w:val="005F2C5D"/>
    <w:rsid w:val="00625839"/>
    <w:rsid w:val="0064294E"/>
    <w:rsid w:val="0066566F"/>
    <w:rsid w:val="00666219"/>
    <w:rsid w:val="00692DA0"/>
    <w:rsid w:val="00695793"/>
    <w:rsid w:val="00696DF3"/>
    <w:rsid w:val="006C1014"/>
    <w:rsid w:val="006D374B"/>
    <w:rsid w:val="006E464A"/>
    <w:rsid w:val="007016EF"/>
    <w:rsid w:val="00702F2F"/>
    <w:rsid w:val="00703709"/>
    <w:rsid w:val="007155E4"/>
    <w:rsid w:val="00734D46"/>
    <w:rsid w:val="00747262"/>
    <w:rsid w:val="00753D49"/>
    <w:rsid w:val="007929C0"/>
    <w:rsid w:val="00792AD2"/>
    <w:rsid w:val="007A3EBB"/>
    <w:rsid w:val="007E591E"/>
    <w:rsid w:val="00800AC8"/>
    <w:rsid w:val="008126D7"/>
    <w:rsid w:val="0088744F"/>
    <w:rsid w:val="008879CE"/>
    <w:rsid w:val="008A0615"/>
    <w:rsid w:val="008B4713"/>
    <w:rsid w:val="008B5512"/>
    <w:rsid w:val="008C0476"/>
    <w:rsid w:val="008D36D9"/>
    <w:rsid w:val="008F4437"/>
    <w:rsid w:val="0091157B"/>
    <w:rsid w:val="009212D8"/>
    <w:rsid w:val="00974C54"/>
    <w:rsid w:val="00977752"/>
    <w:rsid w:val="009B3FE0"/>
    <w:rsid w:val="009C0111"/>
    <w:rsid w:val="009C432A"/>
    <w:rsid w:val="009D6BDA"/>
    <w:rsid w:val="009F3CAE"/>
    <w:rsid w:val="00A07FBF"/>
    <w:rsid w:val="00A41370"/>
    <w:rsid w:val="00A573E6"/>
    <w:rsid w:val="00A70F7C"/>
    <w:rsid w:val="00A72F8F"/>
    <w:rsid w:val="00AC5C07"/>
    <w:rsid w:val="00AD7BC5"/>
    <w:rsid w:val="00B01B3B"/>
    <w:rsid w:val="00B140FC"/>
    <w:rsid w:val="00B42C9E"/>
    <w:rsid w:val="00B6238B"/>
    <w:rsid w:val="00B64939"/>
    <w:rsid w:val="00BA0796"/>
    <w:rsid w:val="00BA0C0F"/>
    <w:rsid w:val="00BA1A8A"/>
    <w:rsid w:val="00BD37DA"/>
    <w:rsid w:val="00BE3651"/>
    <w:rsid w:val="00BF38F6"/>
    <w:rsid w:val="00C117A7"/>
    <w:rsid w:val="00C236D2"/>
    <w:rsid w:val="00C26109"/>
    <w:rsid w:val="00C2657B"/>
    <w:rsid w:val="00C33271"/>
    <w:rsid w:val="00C36E0D"/>
    <w:rsid w:val="00C52749"/>
    <w:rsid w:val="00C60314"/>
    <w:rsid w:val="00C717EF"/>
    <w:rsid w:val="00C81142"/>
    <w:rsid w:val="00C944B7"/>
    <w:rsid w:val="00CB0689"/>
    <w:rsid w:val="00CB1760"/>
    <w:rsid w:val="00CB53C3"/>
    <w:rsid w:val="00CB62E4"/>
    <w:rsid w:val="00D113B0"/>
    <w:rsid w:val="00D13142"/>
    <w:rsid w:val="00D5324F"/>
    <w:rsid w:val="00D76BBE"/>
    <w:rsid w:val="00D76BF3"/>
    <w:rsid w:val="00D95D32"/>
    <w:rsid w:val="00D975A5"/>
    <w:rsid w:val="00DA27C1"/>
    <w:rsid w:val="00DD2060"/>
    <w:rsid w:val="00DE3511"/>
    <w:rsid w:val="00E05DD2"/>
    <w:rsid w:val="00E624FC"/>
    <w:rsid w:val="00E91326"/>
    <w:rsid w:val="00EC0B70"/>
    <w:rsid w:val="00ED24CB"/>
    <w:rsid w:val="00F1460B"/>
    <w:rsid w:val="00F35DF7"/>
    <w:rsid w:val="00F66EF1"/>
    <w:rsid w:val="00FB2778"/>
    <w:rsid w:val="00FF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BBEC97"/>
  <w15:docId w15:val="{AD483032-0310-43A4-B64A-7A1F9AEA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BB0CF3"/>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2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Standard">
    <w:name w:val="Tab Standard"/>
    <w:basedOn w:val="Normal"/>
    <w:rsid w:val="00FB2778"/>
    <w:pPr>
      <w:spacing w:before="60" w:after="60"/>
      <w:jc w:val="left"/>
    </w:pPr>
    <w:rPr>
      <w:rFonts w:ascii="Arial Narrow" w:eastAsia="Times New Roman" w:hAnsi="Arial Narrow" w:cs="Arial"/>
      <w:sz w:val="20"/>
      <w:szCs w:val="24"/>
      <w:lang w:eastAsia="de-DE"/>
    </w:rPr>
  </w:style>
  <w:style w:type="paragraph" w:styleId="ListBullet">
    <w:name w:val="List Bullet"/>
    <w:basedOn w:val="Normal"/>
    <w:uiPriority w:val="99"/>
    <w:semiHidden/>
    <w:unhideWhenUsed/>
    <w:rsid w:val="00666219"/>
    <w:pPr>
      <w:numPr>
        <w:numId w:val="4"/>
      </w:numPr>
      <w:contextualSpacing/>
    </w:pPr>
  </w:style>
  <w:style w:type="paragraph" w:styleId="ListBullet2">
    <w:name w:val="List Bullet 2"/>
    <w:basedOn w:val="Normal"/>
    <w:uiPriority w:val="99"/>
    <w:semiHidden/>
    <w:unhideWhenUsed/>
    <w:rsid w:val="00666219"/>
    <w:pPr>
      <w:numPr>
        <w:numId w:val="5"/>
      </w:numPr>
      <w:contextualSpacing/>
    </w:pPr>
  </w:style>
  <w:style w:type="paragraph" w:styleId="ListBullet3">
    <w:name w:val="List Bullet 3"/>
    <w:basedOn w:val="Normal"/>
    <w:uiPriority w:val="99"/>
    <w:semiHidden/>
    <w:unhideWhenUsed/>
    <w:rsid w:val="00666219"/>
    <w:pPr>
      <w:numPr>
        <w:numId w:val="6"/>
      </w:numPr>
      <w:contextualSpacing/>
    </w:pPr>
  </w:style>
  <w:style w:type="paragraph" w:styleId="ListBullet4">
    <w:name w:val="List Bullet 4"/>
    <w:basedOn w:val="Normal"/>
    <w:uiPriority w:val="99"/>
    <w:semiHidden/>
    <w:unhideWhenUsed/>
    <w:rsid w:val="00666219"/>
    <w:pPr>
      <w:numPr>
        <w:numId w:val="7"/>
      </w:numPr>
      <w:contextualSpacing/>
    </w:pPr>
  </w:style>
  <w:style w:type="paragraph" w:styleId="BalloonText">
    <w:name w:val="Balloon Text"/>
    <w:basedOn w:val="Normal"/>
    <w:link w:val="BalloonTextChar"/>
    <w:uiPriority w:val="99"/>
    <w:semiHidden/>
    <w:unhideWhenUsed/>
    <w:rsid w:val="00CB068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689"/>
    <w:rPr>
      <w:rFonts w:ascii="Segoe UI" w:hAnsi="Segoe UI" w:cs="Segoe UI"/>
      <w:sz w:val="18"/>
      <w:szCs w:val="18"/>
      <w:lang w:val="fr-FR"/>
    </w:rPr>
  </w:style>
  <w:style w:type="paragraph" w:styleId="Caption">
    <w:name w:val="caption"/>
    <w:basedOn w:val="Normal"/>
    <w:next w:val="Normal"/>
    <w:uiPriority w:val="35"/>
    <w:semiHidden/>
    <w:unhideWhenUsed/>
    <w:qFormat/>
    <w:rsid w:val="00BA1A8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BA1A8A"/>
    <w:pPr>
      <w:spacing w:after="0"/>
    </w:pPr>
  </w:style>
  <w:style w:type="paragraph" w:styleId="ListNumber">
    <w:name w:val="List Number"/>
    <w:basedOn w:val="Normal"/>
    <w:uiPriority w:val="99"/>
    <w:semiHidden/>
    <w:unhideWhenUsed/>
    <w:rsid w:val="00BA1A8A"/>
    <w:pPr>
      <w:numPr>
        <w:numId w:val="11"/>
      </w:numPr>
      <w:contextualSpacing/>
    </w:pPr>
  </w:style>
  <w:style w:type="paragraph" w:styleId="ListNumber2">
    <w:name w:val="List Number 2"/>
    <w:basedOn w:val="Normal"/>
    <w:uiPriority w:val="99"/>
    <w:semiHidden/>
    <w:unhideWhenUsed/>
    <w:rsid w:val="00BA1A8A"/>
    <w:pPr>
      <w:numPr>
        <w:numId w:val="12"/>
      </w:numPr>
      <w:contextualSpacing/>
    </w:pPr>
  </w:style>
  <w:style w:type="paragraph" w:styleId="ListNumber3">
    <w:name w:val="List Number 3"/>
    <w:basedOn w:val="Normal"/>
    <w:uiPriority w:val="99"/>
    <w:semiHidden/>
    <w:unhideWhenUsed/>
    <w:rsid w:val="00BA1A8A"/>
    <w:pPr>
      <w:numPr>
        <w:numId w:val="13"/>
      </w:numPr>
      <w:contextualSpacing/>
    </w:pPr>
  </w:style>
  <w:style w:type="paragraph" w:styleId="ListNumber4">
    <w:name w:val="List Number 4"/>
    <w:basedOn w:val="Normal"/>
    <w:uiPriority w:val="99"/>
    <w:semiHidden/>
    <w:unhideWhenUsed/>
    <w:rsid w:val="00BA1A8A"/>
    <w:pPr>
      <w:numPr>
        <w:numId w:val="14"/>
      </w:numPr>
      <w:contextualSpacing/>
    </w:pPr>
  </w:style>
  <w:style w:type="character" w:styleId="CommentReference">
    <w:name w:val="annotation reference"/>
    <w:basedOn w:val="DefaultParagraphFont"/>
    <w:uiPriority w:val="99"/>
    <w:semiHidden/>
    <w:unhideWhenUsed/>
    <w:rsid w:val="007A3EBB"/>
    <w:rPr>
      <w:sz w:val="16"/>
      <w:szCs w:val="16"/>
    </w:rPr>
  </w:style>
  <w:style w:type="paragraph" w:styleId="CommentText">
    <w:name w:val="annotation text"/>
    <w:basedOn w:val="Normal"/>
    <w:link w:val="CommentTextChar"/>
    <w:uiPriority w:val="99"/>
    <w:semiHidden/>
    <w:unhideWhenUsed/>
    <w:rsid w:val="007A3EBB"/>
    <w:rPr>
      <w:sz w:val="20"/>
      <w:szCs w:val="20"/>
    </w:rPr>
  </w:style>
  <w:style w:type="character" w:customStyle="1" w:styleId="CommentTextChar">
    <w:name w:val="Comment Text Char"/>
    <w:basedOn w:val="DefaultParagraphFont"/>
    <w:link w:val="CommentText"/>
    <w:uiPriority w:val="99"/>
    <w:semiHidden/>
    <w:rsid w:val="007A3EBB"/>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7A3EBB"/>
    <w:rPr>
      <w:b/>
      <w:bCs/>
    </w:rPr>
  </w:style>
  <w:style w:type="character" w:customStyle="1" w:styleId="CommentSubjectChar">
    <w:name w:val="Comment Subject Char"/>
    <w:basedOn w:val="CommentTextChar"/>
    <w:link w:val="CommentSubject"/>
    <w:uiPriority w:val="99"/>
    <w:semiHidden/>
    <w:rsid w:val="007A3EBB"/>
    <w:rPr>
      <w:rFonts w:ascii="Times New Roman" w:hAnsi="Times New Roman" w:cs="Times New Roman"/>
      <w:b/>
      <w:bCs/>
      <w:sz w:val="20"/>
      <w:szCs w:val="20"/>
      <w:lang w:val="fr-FR"/>
    </w:rPr>
  </w:style>
  <w:style w:type="character" w:styleId="Hyperlink">
    <w:name w:val="Hyperlink"/>
    <w:basedOn w:val="DefaultParagraphFont"/>
    <w:uiPriority w:val="99"/>
    <w:unhideWhenUsed/>
    <w:rsid w:val="007A3EBB"/>
    <w:rPr>
      <w:color w:val="0000FF" w:themeColor="hyperlink"/>
      <w:u w:val="single"/>
    </w:rPr>
  </w:style>
  <w:style w:type="paragraph" w:styleId="Header">
    <w:name w:val="header"/>
    <w:basedOn w:val="Normal"/>
    <w:link w:val="HeaderChar"/>
    <w:uiPriority w:val="99"/>
    <w:semiHidden/>
    <w:unhideWhenUsed/>
    <w:rsid w:val="00BB0CF3"/>
    <w:pPr>
      <w:tabs>
        <w:tab w:val="center" w:pos="4535"/>
        <w:tab w:val="right" w:pos="9071"/>
      </w:tabs>
      <w:spacing w:before="0"/>
    </w:pPr>
  </w:style>
  <w:style w:type="character" w:customStyle="1" w:styleId="HeaderChar">
    <w:name w:val="Header Char"/>
    <w:basedOn w:val="DefaultParagraphFont"/>
    <w:link w:val="Header"/>
    <w:uiPriority w:val="99"/>
    <w:semiHidden/>
    <w:rsid w:val="00BB0CF3"/>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BB0CF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BB0CF3"/>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BB0CF3"/>
    <w:pPr>
      <w:tabs>
        <w:tab w:val="center" w:pos="7285"/>
        <w:tab w:val="right" w:pos="14003"/>
      </w:tabs>
      <w:spacing w:before="0"/>
    </w:pPr>
  </w:style>
  <w:style w:type="paragraph" w:customStyle="1" w:styleId="FooterLandscape">
    <w:name w:val="FooterLandscape"/>
    <w:basedOn w:val="Normal"/>
    <w:rsid w:val="00BB0CF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BB0CF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B0CF3"/>
    <w:pPr>
      <w:spacing w:before="0"/>
      <w:jc w:val="right"/>
    </w:pPr>
    <w:rPr>
      <w:sz w:val="28"/>
    </w:rPr>
  </w:style>
  <w:style w:type="paragraph" w:customStyle="1" w:styleId="FooterSensitivity">
    <w:name w:val="Footer Sensitivity"/>
    <w:basedOn w:val="Normal"/>
    <w:rsid w:val="00BB0CF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15"/>
      </w:numPr>
    </w:pPr>
  </w:style>
  <w:style w:type="paragraph" w:customStyle="1" w:styleId="Tiret1">
    <w:name w:val="Tiret 1"/>
    <w:basedOn w:val="Point1"/>
    <w:rsid w:val="00BB0CF3"/>
    <w:pPr>
      <w:numPr>
        <w:numId w:val="16"/>
      </w:numPr>
    </w:pPr>
  </w:style>
  <w:style w:type="paragraph" w:customStyle="1" w:styleId="Tiret2">
    <w:name w:val="Tiret 2"/>
    <w:basedOn w:val="Point2"/>
    <w:rsid w:val="00BB0CF3"/>
    <w:pPr>
      <w:numPr>
        <w:numId w:val="17"/>
      </w:numPr>
    </w:pPr>
  </w:style>
  <w:style w:type="paragraph" w:customStyle="1" w:styleId="Tiret3">
    <w:name w:val="Tiret 3"/>
    <w:basedOn w:val="Point3"/>
    <w:rsid w:val="00BB0CF3"/>
    <w:pPr>
      <w:numPr>
        <w:numId w:val="18"/>
      </w:numPr>
    </w:pPr>
  </w:style>
  <w:style w:type="paragraph" w:customStyle="1" w:styleId="Tiret4">
    <w:name w:val="Tiret 4"/>
    <w:basedOn w:val="Point4"/>
    <w:rsid w:val="00BB0CF3"/>
    <w:pPr>
      <w:numPr>
        <w:numId w:val="19"/>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20"/>
      </w:numPr>
    </w:pPr>
  </w:style>
  <w:style w:type="paragraph" w:customStyle="1" w:styleId="NumPar2">
    <w:name w:val="NumPar 2"/>
    <w:basedOn w:val="Normal"/>
    <w:next w:val="Text1"/>
    <w:rsid w:val="00BB0CF3"/>
    <w:pPr>
      <w:numPr>
        <w:ilvl w:val="1"/>
        <w:numId w:val="20"/>
      </w:numPr>
    </w:pPr>
  </w:style>
  <w:style w:type="paragraph" w:customStyle="1" w:styleId="NumPar3">
    <w:name w:val="NumPar 3"/>
    <w:basedOn w:val="Normal"/>
    <w:next w:val="Text1"/>
    <w:rsid w:val="00BB0CF3"/>
    <w:pPr>
      <w:numPr>
        <w:ilvl w:val="2"/>
        <w:numId w:val="20"/>
      </w:numPr>
    </w:pPr>
  </w:style>
  <w:style w:type="paragraph" w:customStyle="1" w:styleId="NumPar4">
    <w:name w:val="NumPar 4"/>
    <w:basedOn w:val="Normal"/>
    <w:next w:val="Text1"/>
    <w:rsid w:val="00BB0CF3"/>
    <w:pPr>
      <w:numPr>
        <w:ilvl w:val="3"/>
        <w:numId w:val="20"/>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22"/>
      </w:numPr>
    </w:pPr>
  </w:style>
  <w:style w:type="paragraph" w:customStyle="1" w:styleId="Point1number">
    <w:name w:val="Point 1 (number)"/>
    <w:basedOn w:val="Normal"/>
    <w:rsid w:val="00BB0CF3"/>
    <w:pPr>
      <w:numPr>
        <w:ilvl w:val="2"/>
        <w:numId w:val="22"/>
      </w:numPr>
    </w:pPr>
  </w:style>
  <w:style w:type="paragraph" w:customStyle="1" w:styleId="Point2number">
    <w:name w:val="Point 2 (number)"/>
    <w:basedOn w:val="Normal"/>
    <w:rsid w:val="00BB0CF3"/>
    <w:pPr>
      <w:numPr>
        <w:ilvl w:val="4"/>
        <w:numId w:val="22"/>
      </w:numPr>
    </w:pPr>
  </w:style>
  <w:style w:type="paragraph" w:customStyle="1" w:styleId="Point3number">
    <w:name w:val="Point 3 (number)"/>
    <w:basedOn w:val="Normal"/>
    <w:rsid w:val="00BB0CF3"/>
    <w:pPr>
      <w:numPr>
        <w:ilvl w:val="6"/>
        <w:numId w:val="22"/>
      </w:numPr>
    </w:pPr>
  </w:style>
  <w:style w:type="paragraph" w:customStyle="1" w:styleId="Point0letter">
    <w:name w:val="Point 0 (letter)"/>
    <w:basedOn w:val="Normal"/>
    <w:rsid w:val="00BB0CF3"/>
    <w:pPr>
      <w:numPr>
        <w:ilvl w:val="1"/>
        <w:numId w:val="22"/>
      </w:numPr>
    </w:pPr>
  </w:style>
  <w:style w:type="paragraph" w:customStyle="1" w:styleId="Point1letter">
    <w:name w:val="Point 1 (letter)"/>
    <w:basedOn w:val="Normal"/>
    <w:rsid w:val="00BB0CF3"/>
    <w:pPr>
      <w:numPr>
        <w:ilvl w:val="3"/>
        <w:numId w:val="22"/>
      </w:numPr>
    </w:pPr>
  </w:style>
  <w:style w:type="paragraph" w:customStyle="1" w:styleId="Point2letter">
    <w:name w:val="Point 2 (letter)"/>
    <w:basedOn w:val="Normal"/>
    <w:rsid w:val="00BB0CF3"/>
    <w:pPr>
      <w:numPr>
        <w:ilvl w:val="5"/>
        <w:numId w:val="22"/>
      </w:numPr>
    </w:pPr>
  </w:style>
  <w:style w:type="paragraph" w:customStyle="1" w:styleId="Point3letter">
    <w:name w:val="Point 3 (letter)"/>
    <w:basedOn w:val="Normal"/>
    <w:rsid w:val="00BB0CF3"/>
    <w:pPr>
      <w:numPr>
        <w:ilvl w:val="7"/>
        <w:numId w:val="22"/>
      </w:numPr>
    </w:pPr>
  </w:style>
  <w:style w:type="paragraph" w:customStyle="1" w:styleId="Point4letter">
    <w:name w:val="Point 4 (letter)"/>
    <w:basedOn w:val="Normal"/>
    <w:rsid w:val="00BB0CF3"/>
    <w:pPr>
      <w:numPr>
        <w:ilvl w:val="8"/>
        <w:numId w:val="22"/>
      </w:numPr>
    </w:pPr>
  </w:style>
  <w:style w:type="paragraph" w:customStyle="1" w:styleId="Bullet0">
    <w:name w:val="Bullet 0"/>
    <w:basedOn w:val="Normal"/>
    <w:rsid w:val="00BB0CF3"/>
    <w:pPr>
      <w:numPr>
        <w:numId w:val="23"/>
      </w:numPr>
    </w:pPr>
  </w:style>
  <w:style w:type="paragraph" w:customStyle="1" w:styleId="Bullet1">
    <w:name w:val="Bullet 1"/>
    <w:basedOn w:val="Normal"/>
    <w:rsid w:val="00BB0CF3"/>
    <w:pPr>
      <w:numPr>
        <w:numId w:val="24"/>
      </w:numPr>
    </w:pPr>
  </w:style>
  <w:style w:type="paragraph" w:customStyle="1" w:styleId="Bullet2">
    <w:name w:val="Bullet 2"/>
    <w:basedOn w:val="Normal"/>
    <w:rsid w:val="00BB0CF3"/>
    <w:pPr>
      <w:numPr>
        <w:numId w:val="25"/>
      </w:numPr>
    </w:pPr>
  </w:style>
  <w:style w:type="paragraph" w:customStyle="1" w:styleId="Bullet3">
    <w:name w:val="Bullet 3"/>
    <w:basedOn w:val="Normal"/>
    <w:rsid w:val="00BB0CF3"/>
    <w:pPr>
      <w:numPr>
        <w:numId w:val="26"/>
      </w:numPr>
    </w:pPr>
  </w:style>
  <w:style w:type="paragraph" w:customStyle="1" w:styleId="Bullet4">
    <w:name w:val="Bullet 4"/>
    <w:basedOn w:val="Normal"/>
    <w:rsid w:val="00BB0CF3"/>
    <w:pPr>
      <w:numPr>
        <w:numId w:val="27"/>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28"/>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character" w:customStyle="1" w:styleId="UnresolvedMention">
    <w:name w:val="Unresolved Mention"/>
    <w:basedOn w:val="DefaultParagraphFont"/>
    <w:uiPriority w:val="99"/>
    <w:semiHidden/>
    <w:unhideWhenUsed/>
    <w:rsid w:val="00BE3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1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mirgain@aev.etat.l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ata.public.lu/en/organizations/administration-de-lenvironnement/" TargetMode="External"/><Relationship Id="rId4" Type="http://schemas.openxmlformats.org/officeDocument/2006/relationships/settings" Target="settings.xml"/><Relationship Id="rId9" Type="http://schemas.openxmlformats.org/officeDocument/2006/relationships/hyperlink" Target="mailto:stephanie.goergen@aev.etat.l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3EF8335-33FC-4B92-BEED-10375F02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 Rozalina (ENV)</dc:creator>
  <cp:lastModifiedBy>Tim Mirgain</cp:lastModifiedBy>
  <cp:revision>10</cp:revision>
  <dcterms:created xsi:type="dcterms:W3CDTF">2019-12-23T09:42:00Z</dcterms:created>
  <dcterms:modified xsi:type="dcterms:W3CDTF">2022-06-16T06:13:00Z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SG-068</vt:lpwstr>
  </property>
  <property fmtid="{D5CDD505-2E9C-101B-9397-08002B2CF9AE}" pid="13" name="DQCStatus">
    <vt:lpwstr>Yellow (DQC version 03)</vt:lpwstr>
  </property>
</Properties>
</file>