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9D2C" w14:textId="6155866D" w:rsidR="00017ACC" w:rsidRDefault="00017ACC" w:rsidP="00017ACC">
      <w:pPr>
        <w:pStyle w:val="Heading1"/>
      </w:pPr>
      <w:r>
        <w:t>Art. 19 Les servitudes « couloirs pour projets de mobilité douce »</w:t>
      </w:r>
    </w:p>
    <w:p w14:paraId="7D658E68" w14:textId="3C1516B4" w:rsidR="005B323B" w:rsidRDefault="00017ACC" w:rsidP="00017ACC">
      <w:r>
        <w:t>Les servitudes « couloirs pour projets de mobilité douce », définies dans le plan d’aménagement général, se rapportent à des fonds réservés aux projets de mobilité douce. Y sont interdits toutes constructions et aménagements, à l’exception de l’aménagement de chemins piétons et/ou de pistes cyclables. Y sont également admis des aménagements relatifs aux infrastructures techniques.</w:t>
      </w:r>
    </w:p>
    <w:p w14:paraId="38FDEE07" w14:textId="77065373" w:rsidR="006605E2" w:rsidRPr="007D461A" w:rsidRDefault="00017ACC" w:rsidP="00017ACC">
      <w:r>
        <w:t>L’emprise définitive des projets est définie dans le cadre du plan d’aménagement particulier ou dans un projet d’exécution.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696954">
    <w:abstractNumId w:val="3"/>
  </w:num>
  <w:num w:numId="2" w16cid:durableId="81150444">
    <w:abstractNumId w:val="4"/>
  </w:num>
  <w:num w:numId="3" w16cid:durableId="434208247">
    <w:abstractNumId w:val="5"/>
  </w:num>
  <w:num w:numId="4" w16cid:durableId="814764127">
    <w:abstractNumId w:val="0"/>
  </w:num>
  <w:num w:numId="5" w16cid:durableId="2131706167">
    <w:abstractNumId w:val="1"/>
  </w:num>
  <w:num w:numId="6" w16cid:durableId="330253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17ACC"/>
    <w:rsid w:val="0002112C"/>
    <w:rsid w:val="000529E4"/>
    <w:rsid w:val="00387019"/>
    <w:rsid w:val="0039622D"/>
    <w:rsid w:val="00397462"/>
    <w:rsid w:val="003A681A"/>
    <w:rsid w:val="005B323B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2024-08-28T08:10:00Z</dcterms:modified>
</cp:coreProperties>
</file>