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A1E86" w14:textId="2EA1BA12" w:rsidR="00893B6E" w:rsidRPr="00893B6E" w:rsidRDefault="00B67A06" w:rsidP="00893B6E">
      <w:pPr>
        <w:pStyle w:val="Heading1"/>
      </w:pPr>
      <w:r>
        <w:t>Art. 11 Zone spéciale – Zone d'habitation à logements encadré [SPEC-LE]</w:t>
      </w:r>
    </w:p>
    <w:p w14:paraId="13DB6064" w14:textId="449F5716" w:rsidR="00B67A06" w:rsidRDefault="00B67A06" w:rsidP="00B67A06">
      <w:pPr>
        <w:pStyle w:val="Heading2"/>
      </w:pPr>
      <w:r>
        <w:t>Art. 11.1 Affectation</w:t>
      </w:r>
    </w:p>
    <w:p w14:paraId="620D9ECA" w14:textId="63588063" w:rsidR="00B67A06" w:rsidRDefault="00B67A06" w:rsidP="00B67A06">
      <w:r>
        <w:t>Le quartier existant « Zone spéciale – Zone d'habitation à logements encadré » est destiné aux espaces libres, espaces verts de détente et de repos en lien directe avec la « Zone spéciale – Zone d'habitation à logements encadrés [SPEC-LE] » telle que définie dans le Plan d’Aménagement Général (PAG) ainsi qu’aux équipements de service public.</w:t>
      </w:r>
    </w:p>
    <w:p w14:paraId="3F9189A5" w14:textId="77777777" w:rsidR="00B67A06" w:rsidRDefault="00B67A06" w:rsidP="00B67A06">
      <w:r>
        <w:t>Seul des constructions et aménagements légers en relation avec la vocation de la zone sont autorisés.</w:t>
      </w:r>
    </w:p>
    <w:p w14:paraId="4D5A45C0" w14:textId="4E293DDF" w:rsidR="00B67A06" w:rsidRDefault="00B67A06" w:rsidP="00B67A06">
      <w:pPr>
        <w:pStyle w:val="Heading3"/>
      </w:pPr>
      <w:r>
        <w:t>Art. 11.1.1 Implantation et gabarit</w:t>
      </w:r>
    </w:p>
    <w:p w14:paraId="1B32A32E" w14:textId="62230883" w:rsidR="00B67A06" w:rsidRDefault="00B67A06" w:rsidP="00B67A06">
      <w:pPr>
        <w:pStyle w:val="ListParagraph"/>
        <w:numPr>
          <w:ilvl w:val="0"/>
          <w:numId w:val="8"/>
        </w:numPr>
      </w:pPr>
      <w:r>
        <w:t>La surface d’emprise au sol des constructions ne peut pas dépasser 50 m</w:t>
      </w:r>
      <w:r w:rsidRPr="00B67A06">
        <w:rPr>
          <w:vertAlign w:val="superscript"/>
        </w:rPr>
        <w:t>2</w:t>
      </w:r>
      <w:r>
        <w:t>.</w:t>
      </w:r>
    </w:p>
    <w:p w14:paraId="38FDEE07" w14:textId="456F563B" w:rsidR="006605E2" w:rsidRPr="007D461A" w:rsidRDefault="00B67A06" w:rsidP="00B67A06">
      <w:pPr>
        <w:pStyle w:val="ListParagraph"/>
        <w:numPr>
          <w:ilvl w:val="0"/>
          <w:numId w:val="8"/>
        </w:numPr>
      </w:pPr>
      <w:r>
        <w:t>La hauteur maximale totale est limitée à 5,00 mètres. Elle est à mesurer par rapport au niveau du terrain existant.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A79AD"/>
    <w:multiLevelType w:val="hybridMultilevel"/>
    <w:tmpl w:val="5F4434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B32EB1"/>
    <w:multiLevelType w:val="hybridMultilevel"/>
    <w:tmpl w:val="D562A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352243">
    <w:abstractNumId w:val="4"/>
  </w:num>
  <w:num w:numId="2" w16cid:durableId="249050644">
    <w:abstractNumId w:val="5"/>
  </w:num>
  <w:num w:numId="3" w16cid:durableId="46419665">
    <w:abstractNumId w:val="6"/>
  </w:num>
  <w:num w:numId="4" w16cid:durableId="2076007349">
    <w:abstractNumId w:val="0"/>
  </w:num>
  <w:num w:numId="5" w16cid:durableId="1855340041">
    <w:abstractNumId w:val="1"/>
  </w:num>
  <w:num w:numId="6" w16cid:durableId="844394546">
    <w:abstractNumId w:val="3"/>
  </w:num>
  <w:num w:numId="7" w16cid:durableId="1391922896">
    <w:abstractNumId w:val="7"/>
  </w:num>
  <w:num w:numId="8" w16cid:durableId="11697552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93B6E"/>
    <w:rsid w:val="008A46DB"/>
    <w:rsid w:val="009D6555"/>
    <w:rsid w:val="00A610F9"/>
    <w:rsid w:val="00AD5B20"/>
    <w:rsid w:val="00B11E93"/>
    <w:rsid w:val="00B208F3"/>
    <w:rsid w:val="00B67A06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2024-08-28T08:13:00Z</dcterms:modified>
</cp:coreProperties>
</file>