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C3E87" w14:textId="12379950" w:rsidR="00F84CA2" w:rsidRPr="00F84CA2" w:rsidRDefault="00FA184C" w:rsidP="00F84CA2">
      <w:pPr>
        <w:pStyle w:val="Heading1"/>
      </w:pPr>
      <w:r>
        <w:t>Art. 22 Le secteur protégé de type « vestiges archéologiques – A »</w:t>
      </w:r>
    </w:p>
    <w:p w14:paraId="47632C7F" w14:textId="03202D9D" w:rsidR="00FA184C" w:rsidRDefault="00FA184C" w:rsidP="00FA184C">
      <w:r>
        <w:t>Les secteurs protégés d’intérêt communal de type « vestiges archéologiques – A » constituent les parties du territoire communal qui comprennent des vestiges archéologiques dignes de protection ou de sauvegarde et sont marqués de la surimpression « A ».</w:t>
      </w:r>
    </w:p>
    <w:p w14:paraId="38FDEE07" w14:textId="42AEE0AC" w:rsidR="006605E2" w:rsidRPr="007D461A" w:rsidRDefault="00FA184C" w:rsidP="00FA184C">
      <w:r>
        <w:t>Y sont interdits tous travaux, aménagements et constructions à l’exception des aménagements d'utilité publique et relatifs à des infrastructures techniques ou à la mobilité douce, sous condition que ceux-ci ne constituent pas de nuisance à leur valeur historique du vestige archéologique et sans préjudice des dispositions de la loi modifiée du 18 juillet 1983 concernant la conservation et la protection des sites et monuments nationaux.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20085">
    <w:abstractNumId w:val="3"/>
  </w:num>
  <w:num w:numId="2" w16cid:durableId="1476070073">
    <w:abstractNumId w:val="4"/>
  </w:num>
  <w:num w:numId="3" w16cid:durableId="2048022673">
    <w:abstractNumId w:val="5"/>
  </w:num>
  <w:num w:numId="4" w16cid:durableId="2026398912">
    <w:abstractNumId w:val="0"/>
  </w:num>
  <w:num w:numId="5" w16cid:durableId="794181068">
    <w:abstractNumId w:val="1"/>
  </w:num>
  <w:num w:numId="6" w16cid:durableId="1603762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84CA2"/>
    <w:rsid w:val="00FA184C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2024-08-28T08:14:00Z</dcterms:modified>
</cp:coreProperties>
</file>