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D47D1" w14:textId="77777777" w:rsidR="00085F17" w:rsidRPr="00085F17" w:rsidRDefault="00085F17" w:rsidP="00085F17">
      <w:pPr>
        <w:pStyle w:val="Heading1"/>
        <w:rPr>
          <w:lang w:val="fr-FR"/>
        </w:rPr>
      </w:pPr>
      <w:r w:rsidRPr="00085F17">
        <w:rPr>
          <w:lang w:val="fr-FR"/>
        </w:rPr>
        <w:t>Art. 11 Prescriptions générales</w:t>
      </w:r>
    </w:p>
    <w:p w14:paraId="64D96F58" w14:textId="4A4B1D9F" w:rsidR="00085F17" w:rsidRPr="00085F17" w:rsidRDefault="00085F17" w:rsidP="00085F17">
      <w:pPr>
        <w:rPr>
          <w:lang w:val="fr-FR"/>
        </w:rPr>
      </w:pPr>
      <w:r w:rsidRPr="00085F17">
        <w:rPr>
          <w:lang w:val="fr-FR"/>
        </w:rPr>
        <w:t xml:space="preserve">Pour les zones soumises à un plan d’aménagement particulier </w:t>
      </w:r>
      <w:r>
        <w:rPr>
          <w:lang w:val="fr-FR"/>
        </w:rPr>
        <w:t>« </w:t>
      </w:r>
      <w:r w:rsidRPr="00085F17">
        <w:rPr>
          <w:lang w:val="fr-FR"/>
        </w:rPr>
        <w:t>nouveau quartier</w:t>
      </w:r>
      <w:r>
        <w:rPr>
          <w:lang w:val="fr-FR"/>
        </w:rPr>
        <w:t> »</w:t>
      </w:r>
      <w:r w:rsidRPr="00085F17">
        <w:rPr>
          <w:lang w:val="fr-FR"/>
        </w:rPr>
        <w:t>, le degré d’utilisation</w:t>
      </w:r>
      <w:r>
        <w:rPr>
          <w:lang w:val="fr-FR"/>
        </w:rPr>
        <w:t xml:space="preserve"> </w:t>
      </w:r>
      <w:r w:rsidRPr="00085F17">
        <w:rPr>
          <w:lang w:val="fr-FR"/>
        </w:rPr>
        <w:t>du sol est défini dans la partie graphique aux tableaux reprenant le degré d´utilisation du sol.</w:t>
      </w:r>
    </w:p>
    <w:p w14:paraId="026B600E" w14:textId="5D0642E1" w:rsidR="00085F17" w:rsidRPr="00085F17" w:rsidRDefault="00085F17" w:rsidP="00085F17">
      <w:pPr>
        <w:rPr>
          <w:lang w:val="fr-FR"/>
        </w:rPr>
      </w:pPr>
      <w:r w:rsidRPr="00085F17">
        <w:rPr>
          <w:lang w:val="fr-FR"/>
        </w:rPr>
        <w:t xml:space="preserve">Le degré d’utilisation du sol des zones soumises à un plan d’aménagement particulier </w:t>
      </w:r>
      <w:r>
        <w:rPr>
          <w:lang w:val="fr-FR"/>
        </w:rPr>
        <w:t>« </w:t>
      </w:r>
      <w:r w:rsidRPr="00085F17">
        <w:rPr>
          <w:lang w:val="fr-FR"/>
        </w:rPr>
        <w:t>nouveau quartier</w:t>
      </w:r>
      <w:r>
        <w:rPr>
          <w:lang w:val="fr-FR"/>
        </w:rPr>
        <w:t> »</w:t>
      </w:r>
      <w:r w:rsidRPr="00085F17">
        <w:rPr>
          <w:lang w:val="fr-FR"/>
        </w:rPr>
        <w:t xml:space="preserve"> est exprimé par le coefficient d’utilisation du sol (CUS), par le coefficient d’occupation du sol</w:t>
      </w:r>
      <w:r>
        <w:rPr>
          <w:lang w:val="fr-FR"/>
        </w:rPr>
        <w:t xml:space="preserve"> </w:t>
      </w:r>
      <w:r w:rsidRPr="00085F17">
        <w:rPr>
          <w:lang w:val="fr-FR"/>
        </w:rPr>
        <w:t>(COS) et par le coefficient de scellement du sol (CSS). La densité de logements (DL) est fixée pour les</w:t>
      </w:r>
      <w:r>
        <w:rPr>
          <w:lang w:val="fr-FR"/>
        </w:rPr>
        <w:t xml:space="preserve"> </w:t>
      </w:r>
      <w:r w:rsidRPr="00085F17">
        <w:rPr>
          <w:lang w:val="fr-FR"/>
        </w:rPr>
        <w:t>zones ou partie des zones d´habitation et mixtes.</w:t>
      </w:r>
    </w:p>
    <w:p w14:paraId="2FB8C14A" w14:textId="42B13127" w:rsidR="00085F17" w:rsidRPr="00085F17" w:rsidRDefault="00085F17" w:rsidP="00085F17">
      <w:pPr>
        <w:rPr>
          <w:lang w:val="fr-FR"/>
        </w:rPr>
      </w:pPr>
      <w:r w:rsidRPr="00085F17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085F17">
        <w:rPr>
          <w:lang w:val="fr-FR"/>
        </w:rPr>
        <w:t>nouveau quartier</w:t>
      </w:r>
      <w:r>
        <w:rPr>
          <w:lang w:val="fr-FR"/>
        </w:rPr>
        <w:t> »</w:t>
      </w:r>
      <w:r w:rsidRPr="00085F17">
        <w:rPr>
          <w:lang w:val="fr-FR"/>
        </w:rPr>
        <w:t>, les coefficients précités constituent</w:t>
      </w:r>
      <w:r>
        <w:rPr>
          <w:lang w:val="fr-FR"/>
        </w:rPr>
        <w:t xml:space="preserve"> </w:t>
      </w:r>
      <w:r w:rsidRPr="00085F17">
        <w:rPr>
          <w:lang w:val="fr-FR"/>
        </w:rPr>
        <w:t>des valeurs moyennes qui sont à respecter pour l’ensemble des fonds couverts par un même degré</w:t>
      </w:r>
      <w:r>
        <w:rPr>
          <w:lang w:val="fr-FR"/>
        </w:rPr>
        <w:t xml:space="preserve"> </w:t>
      </w:r>
      <w:r w:rsidRPr="00085F17">
        <w:rPr>
          <w:lang w:val="fr-FR"/>
        </w:rPr>
        <w:t>d’utilisation du sol. Ces coefficients peuvent par conséquent être dépassés pour certains lots ou parcelles.</w:t>
      </w:r>
    </w:p>
    <w:p w14:paraId="38FDEE07" w14:textId="23145B03" w:rsidR="006605E2" w:rsidRDefault="00085F17" w:rsidP="00085F17">
      <w:pPr>
        <w:rPr>
          <w:lang w:val="fr-FR"/>
        </w:rPr>
      </w:pPr>
      <w:r w:rsidRPr="00085F17">
        <w:rPr>
          <w:lang w:val="fr-FR"/>
        </w:rPr>
        <w:t>La terminologie utilisée à l’alinéa qui précède est reprise à l’Annexe I de la présente partie écrite.</w:t>
      </w:r>
    </w:p>
    <w:p w14:paraId="49931269" w14:textId="6B0461A6" w:rsidR="005F1098" w:rsidRPr="005F1098" w:rsidRDefault="005F1098" w:rsidP="005F1098">
      <w:pPr>
        <w:pStyle w:val="Heading1"/>
        <w:rPr>
          <w:lang w:val="fr-FR"/>
        </w:rPr>
      </w:pPr>
      <w:r w:rsidRPr="005F1098">
        <w:rPr>
          <w:lang w:val="fr-FR"/>
        </w:rPr>
        <w:t xml:space="preserve">Art. 19 Zone soumise à un plan d’aménagement particulier </w:t>
      </w:r>
      <w:r>
        <w:rPr>
          <w:lang w:val="fr-FR"/>
        </w:rPr>
        <w:t>« </w:t>
      </w:r>
      <w:r w:rsidRPr="005F1098">
        <w:rPr>
          <w:lang w:val="fr-FR"/>
        </w:rPr>
        <w:t>nouveau quartier</w:t>
      </w:r>
      <w:r>
        <w:rPr>
          <w:lang w:val="fr-FR"/>
        </w:rPr>
        <w:t> »</w:t>
      </w:r>
      <w:bookmarkStart w:id="0" w:name="_GoBack"/>
      <w:bookmarkEnd w:id="0"/>
    </w:p>
    <w:p w14:paraId="5EF458C8" w14:textId="000056D8" w:rsidR="005F1098" w:rsidRPr="006605E2" w:rsidRDefault="005F1098" w:rsidP="005F1098">
      <w:pPr>
        <w:rPr>
          <w:lang w:val="fr-FR"/>
        </w:rPr>
      </w:pPr>
      <w:r w:rsidRPr="005F1098">
        <w:rPr>
          <w:lang w:val="fr-FR"/>
        </w:rPr>
        <w:t>Le développement urbain dans ces zones est orienté par le schéma directeur. Ces zones font l’objet</w:t>
      </w:r>
      <w:r>
        <w:rPr>
          <w:lang w:val="fr-FR"/>
        </w:rPr>
        <w:t xml:space="preserve"> </w:t>
      </w:r>
      <w:r w:rsidRPr="005F1098">
        <w:rPr>
          <w:lang w:val="fr-FR"/>
        </w:rPr>
        <w:t xml:space="preserve">d’un ou de plusieurs plans d’aménagement particulier </w:t>
      </w:r>
      <w:r>
        <w:rPr>
          <w:lang w:val="fr-FR"/>
        </w:rPr>
        <w:t>« </w:t>
      </w:r>
      <w:r w:rsidRPr="005F1098">
        <w:rPr>
          <w:lang w:val="fr-FR"/>
        </w:rPr>
        <w:t>nouveaux quartiers</w:t>
      </w:r>
      <w:r>
        <w:rPr>
          <w:lang w:val="fr-FR"/>
        </w:rPr>
        <w:t> »</w:t>
      </w:r>
      <w:r w:rsidRPr="005F1098">
        <w:rPr>
          <w:lang w:val="fr-FR"/>
        </w:rPr>
        <w:t>.</w:t>
      </w:r>
    </w:p>
    <w:sectPr w:rsidR="005F109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5F17"/>
    <w:rsid w:val="00387019"/>
    <w:rsid w:val="0039622D"/>
    <w:rsid w:val="00397462"/>
    <w:rsid w:val="003A681A"/>
    <w:rsid w:val="005D1D9B"/>
    <w:rsid w:val="005F1098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2022-02-18T14:40:00Z</dcterms:modified>
</cp:coreProperties>
</file>