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C9B07" w14:textId="640BDDE5" w:rsidR="002B1671" w:rsidRDefault="002B1671" w:rsidP="002B1671">
      <w:pPr>
        <w:pStyle w:val="Heading1"/>
        <w:rPr>
          <w:lang w:val="fr-FR"/>
        </w:rPr>
      </w:pPr>
      <w:r>
        <w:rPr>
          <w:lang w:val="fr-FR"/>
        </w:rPr>
        <w:t>Art. 7 Prescriptions des quartiers existants situés dans les zones d’activités économiques communales 1 (ECO-c1)</w:t>
      </w:r>
    </w:p>
    <w:p w14:paraId="364C93BA" w14:textId="400C01DF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Titre 7.I Mode et degré d’utilisation du sol</w:t>
      </w:r>
    </w:p>
    <w:p w14:paraId="5693D57F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Chapitre 7.I.1 Mode d’utilisation du sol</w:t>
      </w:r>
    </w:p>
    <w:p w14:paraId="0072418F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7.1 Disposition des constructions</w:t>
      </w:r>
    </w:p>
    <w:p w14:paraId="3A49BBF4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Sont autorisées les constructions en ordre contigu et non contigu.</w:t>
      </w:r>
    </w:p>
    <w:p w14:paraId="39BC518A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Chapitre 7.I.2 Degré d’utilisation du sol</w:t>
      </w:r>
    </w:p>
    <w:p w14:paraId="0890EE88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Section 7.I.2.1 Constructions principales hors-sols</w:t>
      </w:r>
    </w:p>
    <w:p w14:paraId="38FDEE07" w14:textId="27B09DE2" w:rsidR="006605E2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7.2 Reculs par rapport aux limites du terrain à bâtir net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2B1671" w14:paraId="7D913B5F" w14:textId="77777777" w:rsidTr="009E63A7">
        <w:trPr>
          <w:jc w:val="center"/>
        </w:trPr>
        <w:tc>
          <w:tcPr>
            <w:tcW w:w="2268" w:type="dxa"/>
            <w:gridSpan w:val="2"/>
            <w:vAlign w:val="center"/>
          </w:tcPr>
          <w:p w14:paraId="10B15186" w14:textId="77777777" w:rsidR="002B1671" w:rsidRDefault="002B1671" w:rsidP="009E63A7">
            <w:pPr>
              <w:pStyle w:val="NormalTableau"/>
              <w:jc w:val="center"/>
            </w:pPr>
            <w:r>
              <w:t>Reculs</w:t>
            </w:r>
          </w:p>
        </w:tc>
      </w:tr>
      <w:tr w:rsidR="002B1671" w14:paraId="7D436614" w14:textId="77777777" w:rsidTr="009E63A7">
        <w:trPr>
          <w:jc w:val="center"/>
        </w:trPr>
        <w:tc>
          <w:tcPr>
            <w:tcW w:w="969" w:type="dxa"/>
          </w:tcPr>
          <w:p w14:paraId="479FA678" w14:textId="77777777" w:rsidR="002B1671" w:rsidRDefault="002B1671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52C22647" w14:textId="77777777" w:rsidR="002B1671" w:rsidRDefault="002B1671" w:rsidP="009E63A7">
            <w:pPr>
              <w:pStyle w:val="NormalTableau"/>
            </w:pPr>
            <w:r>
              <w:t>min. 6,00 m</w:t>
            </w:r>
          </w:p>
        </w:tc>
      </w:tr>
      <w:tr w:rsidR="002B1671" w14:paraId="5657BD36" w14:textId="77777777" w:rsidTr="009E63A7">
        <w:trPr>
          <w:jc w:val="center"/>
        </w:trPr>
        <w:tc>
          <w:tcPr>
            <w:tcW w:w="969" w:type="dxa"/>
          </w:tcPr>
          <w:p w14:paraId="1DB009E0" w14:textId="77777777" w:rsidR="002B1671" w:rsidRDefault="002B1671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05778C8D" w14:textId="77777777" w:rsidR="002B1671" w:rsidRDefault="002B1671" w:rsidP="009E63A7">
            <w:pPr>
              <w:pStyle w:val="NormalTableau"/>
            </w:pPr>
            <w:r>
              <w:t>min. 3,00 m</w:t>
            </w:r>
          </w:p>
        </w:tc>
      </w:tr>
      <w:tr w:rsidR="002B1671" w14:paraId="3640D8F6" w14:textId="77777777" w:rsidTr="009E63A7">
        <w:trPr>
          <w:jc w:val="center"/>
        </w:trPr>
        <w:tc>
          <w:tcPr>
            <w:tcW w:w="969" w:type="dxa"/>
          </w:tcPr>
          <w:p w14:paraId="7F029F19" w14:textId="77777777" w:rsidR="002B1671" w:rsidRDefault="002B1671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229E8429" w14:textId="77777777" w:rsidR="002B1671" w:rsidRDefault="002B1671" w:rsidP="009E63A7">
            <w:pPr>
              <w:pStyle w:val="NormalTableau"/>
            </w:pPr>
            <w:r>
              <w:t>min. 6,00 m</w:t>
            </w:r>
          </w:p>
        </w:tc>
      </w:tr>
    </w:tbl>
    <w:p w14:paraId="3DA5A0B9" w14:textId="70D01474" w:rsidR="002B1671" w:rsidRDefault="002B1671" w:rsidP="002B1671">
      <w:pPr>
        <w:rPr>
          <w:lang w:val="fr-FR"/>
        </w:rPr>
      </w:pPr>
    </w:p>
    <w:p w14:paraId="6D82A138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7.3 Avant-corps</w:t>
      </w:r>
    </w:p>
    <w:p w14:paraId="476FDB67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Les avant-corps sont interdits.</w:t>
      </w:r>
    </w:p>
    <w:p w14:paraId="79ADA418" w14:textId="3719F4A2" w:rsid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7.4 Hauteurs à la corniche, à l’acrotère et au faîte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24"/>
        <w:gridCol w:w="1299"/>
      </w:tblGrid>
      <w:tr w:rsidR="002B1671" w14:paraId="449910F8" w14:textId="77777777" w:rsidTr="002B1671">
        <w:trPr>
          <w:jc w:val="center"/>
        </w:trPr>
        <w:tc>
          <w:tcPr>
            <w:tcW w:w="3123" w:type="dxa"/>
            <w:gridSpan w:val="2"/>
          </w:tcPr>
          <w:p w14:paraId="0F18C70E" w14:textId="77777777" w:rsidR="002B1671" w:rsidRDefault="002B1671" w:rsidP="009E63A7">
            <w:pPr>
              <w:pStyle w:val="NormalTableau"/>
              <w:jc w:val="center"/>
            </w:pPr>
            <w:r>
              <w:t>Hauteurs maximales autorisées</w:t>
            </w:r>
          </w:p>
        </w:tc>
      </w:tr>
      <w:tr w:rsidR="002B1671" w14:paraId="51079F92" w14:textId="77777777" w:rsidTr="002B1671">
        <w:trPr>
          <w:jc w:val="center"/>
        </w:trPr>
        <w:tc>
          <w:tcPr>
            <w:tcW w:w="1824" w:type="dxa"/>
          </w:tcPr>
          <w:p w14:paraId="3F2CCC5E" w14:textId="77777777" w:rsidR="002B1671" w:rsidRDefault="002B1671" w:rsidP="009E63A7">
            <w:pPr>
              <w:pStyle w:val="NormalTableau"/>
            </w:pPr>
            <w:r>
              <w:t>Hauteur à la corniche</w:t>
            </w:r>
          </w:p>
        </w:tc>
        <w:tc>
          <w:tcPr>
            <w:tcW w:w="1299" w:type="dxa"/>
          </w:tcPr>
          <w:p w14:paraId="34A8F68F" w14:textId="4B337839" w:rsidR="002B1671" w:rsidRDefault="002B1671" w:rsidP="002B1671">
            <w:pPr>
              <w:pStyle w:val="NormalTableau"/>
            </w:pPr>
            <w:r>
              <w:t xml:space="preserve">max.   </w:t>
            </w:r>
            <w:r>
              <w:t>8,00</w:t>
            </w:r>
            <w:r>
              <w:t xml:space="preserve"> m</w:t>
            </w:r>
          </w:p>
        </w:tc>
      </w:tr>
      <w:tr w:rsidR="002B1671" w14:paraId="709947B7" w14:textId="77777777" w:rsidTr="002B1671">
        <w:trPr>
          <w:jc w:val="center"/>
        </w:trPr>
        <w:tc>
          <w:tcPr>
            <w:tcW w:w="1824" w:type="dxa"/>
          </w:tcPr>
          <w:p w14:paraId="2C8172CA" w14:textId="77777777" w:rsidR="002B1671" w:rsidRDefault="002B1671" w:rsidP="009E63A7">
            <w:pPr>
              <w:pStyle w:val="NormalTableau"/>
            </w:pPr>
            <w:r>
              <w:t>Hauteur au faîte</w:t>
            </w:r>
          </w:p>
        </w:tc>
        <w:tc>
          <w:tcPr>
            <w:tcW w:w="1299" w:type="dxa"/>
          </w:tcPr>
          <w:p w14:paraId="7D1D858C" w14:textId="77777777" w:rsidR="002B1671" w:rsidRDefault="002B1671" w:rsidP="009E63A7">
            <w:pPr>
              <w:pStyle w:val="NormalTableau"/>
            </w:pPr>
            <w:r>
              <w:t>max. 13,00 m</w:t>
            </w:r>
          </w:p>
        </w:tc>
      </w:tr>
      <w:tr w:rsidR="002B1671" w14:paraId="6CC755E9" w14:textId="77777777" w:rsidTr="002B1671">
        <w:trPr>
          <w:jc w:val="center"/>
        </w:trPr>
        <w:tc>
          <w:tcPr>
            <w:tcW w:w="1824" w:type="dxa"/>
          </w:tcPr>
          <w:p w14:paraId="43611B0F" w14:textId="4366F912" w:rsidR="002B1671" w:rsidRDefault="002B1671" w:rsidP="002B1671">
            <w:pPr>
              <w:pStyle w:val="NormalTableau"/>
            </w:pPr>
            <w:r>
              <w:t>Hauteur à l’acrotère</w:t>
            </w:r>
          </w:p>
        </w:tc>
        <w:tc>
          <w:tcPr>
            <w:tcW w:w="1299" w:type="dxa"/>
          </w:tcPr>
          <w:p w14:paraId="7F57F7B8" w14:textId="5547A5DF" w:rsidR="002B1671" w:rsidRDefault="002B1671" w:rsidP="002B1671">
            <w:pPr>
              <w:pStyle w:val="NormalTableau"/>
            </w:pPr>
            <w:r>
              <w:t xml:space="preserve">Max.   </w:t>
            </w:r>
            <w:r>
              <w:t>8</w:t>
            </w:r>
            <w:r>
              <w:t>,</w:t>
            </w:r>
            <w:r>
              <w:t>0</w:t>
            </w:r>
            <w:r>
              <w:t>0 m</w:t>
            </w:r>
          </w:p>
        </w:tc>
      </w:tr>
    </w:tbl>
    <w:p w14:paraId="79CABC98" w14:textId="38B34EE1" w:rsidR="002B1671" w:rsidRDefault="002B1671" w:rsidP="002B1671">
      <w:pPr>
        <w:rPr>
          <w:lang w:val="fr-FR"/>
        </w:rPr>
      </w:pPr>
    </w:p>
    <w:p w14:paraId="4542F4C5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7.5 Nombre de niveaux</w:t>
      </w:r>
    </w:p>
    <w:p w14:paraId="34B5074D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Le nombre de niveaux n’est pas limité.</w:t>
      </w:r>
    </w:p>
    <w:p w14:paraId="1FE5F7BB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 xml:space="preserve">Art. 7.6 Constructions principales en seconde position par rapport à la même voie </w:t>
      </w:r>
      <w:proofErr w:type="spellStart"/>
      <w:r w:rsidRPr="002B1671">
        <w:rPr>
          <w:lang w:val="fr-FR"/>
        </w:rPr>
        <w:t>desservante</w:t>
      </w:r>
      <w:proofErr w:type="spellEnd"/>
    </w:p>
    <w:p w14:paraId="2297D72D" w14:textId="308D6975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Seuls la production, le commerce, les services et le stockage sont autorisés en</w:t>
      </w:r>
      <w:r>
        <w:rPr>
          <w:lang w:val="fr-FR"/>
        </w:rPr>
        <w:t xml:space="preserve"> </w:t>
      </w:r>
      <w:r w:rsidRPr="002B1671">
        <w:rPr>
          <w:lang w:val="fr-FR"/>
        </w:rPr>
        <w:t>seconde position.</w:t>
      </w:r>
    </w:p>
    <w:p w14:paraId="69CF4AA2" w14:textId="1A5E0BFD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La desserte des constructions principales en seconde position, doit être d’une largeur</w:t>
      </w:r>
      <w:r>
        <w:rPr>
          <w:lang w:val="fr-FR"/>
        </w:rPr>
        <w:t xml:space="preserve"> </w:t>
      </w:r>
      <w:r w:rsidRPr="002B1671">
        <w:rPr>
          <w:lang w:val="fr-FR"/>
        </w:rPr>
        <w:t>de min. 5,00 m, sans tenir compte des rayons de braquage qui sont à déterminer en</w:t>
      </w:r>
      <w:r>
        <w:rPr>
          <w:lang w:val="fr-FR"/>
        </w:rPr>
        <w:t xml:space="preserve"> </w:t>
      </w:r>
      <w:r w:rsidRPr="002B1671">
        <w:rPr>
          <w:lang w:val="fr-FR"/>
        </w:rPr>
        <w:t xml:space="preserve">fonction de la largeur de la voie </w:t>
      </w:r>
      <w:proofErr w:type="spellStart"/>
      <w:r w:rsidRPr="002B1671">
        <w:rPr>
          <w:lang w:val="fr-FR"/>
        </w:rPr>
        <w:t>desservante</w:t>
      </w:r>
      <w:proofErr w:type="spellEnd"/>
      <w:r w:rsidRPr="002B1671">
        <w:rPr>
          <w:lang w:val="fr-FR"/>
        </w:rPr>
        <w:t>.</w:t>
      </w:r>
    </w:p>
    <w:p w14:paraId="506F2442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Section 7.I.2.2 Dépendances</w:t>
      </w:r>
    </w:p>
    <w:p w14:paraId="52CED809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7.7 Garages hors-sols et car-ports</w:t>
      </w:r>
    </w:p>
    <w:p w14:paraId="6442A5DD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Les car-ports implantés dans le recul avant d’une construction, sont interdits.</w:t>
      </w:r>
    </w:p>
    <w:p w14:paraId="6BE1EBE5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7.8 Dépendances autres que les garages et car-ports</w:t>
      </w:r>
    </w:p>
    <w:p w14:paraId="55239D83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Les dépendances autres que les garages et les car-ports, sont interdites.</w:t>
      </w:r>
    </w:p>
    <w:p w14:paraId="525E8507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Section 7.I.2.3 Constructions souterraines</w:t>
      </w:r>
    </w:p>
    <w:p w14:paraId="0F22409A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lastRenderedPageBreak/>
        <w:t>Art. 7.9 Constructions souterraines</w:t>
      </w:r>
    </w:p>
    <w:p w14:paraId="0983E570" w14:textId="406035AE" w:rsidR="002B1671" w:rsidRDefault="002B1671" w:rsidP="002B1671">
      <w:pPr>
        <w:rPr>
          <w:lang w:val="fr-FR"/>
        </w:rPr>
      </w:pPr>
      <w:r w:rsidRPr="002B1671">
        <w:rPr>
          <w:lang w:val="fr-FR"/>
        </w:rPr>
        <w:t>Les constructions souterraines doiven</w:t>
      </w:r>
      <w:r>
        <w:rPr>
          <w:lang w:val="fr-FR"/>
        </w:rPr>
        <w:t>t respecter les reculs suivants</w:t>
      </w:r>
      <w:r w:rsidRPr="002B1671">
        <w:rPr>
          <w:lang w:val="fr-FR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"/>
        <w:gridCol w:w="1299"/>
      </w:tblGrid>
      <w:tr w:rsidR="002B1671" w14:paraId="0AC4FC37" w14:textId="77777777" w:rsidTr="009E63A7">
        <w:trPr>
          <w:jc w:val="center"/>
        </w:trPr>
        <w:tc>
          <w:tcPr>
            <w:tcW w:w="969" w:type="dxa"/>
          </w:tcPr>
          <w:p w14:paraId="58829854" w14:textId="77777777" w:rsidR="002B1671" w:rsidRDefault="002B1671" w:rsidP="009E63A7">
            <w:pPr>
              <w:pStyle w:val="NormalTableau"/>
            </w:pPr>
            <w:r>
              <w:t>avant</w:t>
            </w:r>
          </w:p>
        </w:tc>
        <w:tc>
          <w:tcPr>
            <w:tcW w:w="1299" w:type="dxa"/>
          </w:tcPr>
          <w:p w14:paraId="251AA8A8" w14:textId="77777777" w:rsidR="002B1671" w:rsidRDefault="002B1671" w:rsidP="009E63A7">
            <w:pPr>
              <w:pStyle w:val="NormalTableau"/>
            </w:pPr>
            <w:r>
              <w:t>min. 6,00 m</w:t>
            </w:r>
          </w:p>
        </w:tc>
      </w:tr>
      <w:tr w:rsidR="002B1671" w14:paraId="0037BB79" w14:textId="77777777" w:rsidTr="009E63A7">
        <w:trPr>
          <w:jc w:val="center"/>
        </w:trPr>
        <w:tc>
          <w:tcPr>
            <w:tcW w:w="969" w:type="dxa"/>
          </w:tcPr>
          <w:p w14:paraId="420C92E3" w14:textId="77777777" w:rsidR="002B1671" w:rsidRDefault="002B1671" w:rsidP="009E63A7">
            <w:pPr>
              <w:pStyle w:val="NormalTableau"/>
            </w:pPr>
            <w:r>
              <w:t>latéral</w:t>
            </w:r>
          </w:p>
        </w:tc>
        <w:tc>
          <w:tcPr>
            <w:tcW w:w="1299" w:type="dxa"/>
          </w:tcPr>
          <w:p w14:paraId="776BDE2F" w14:textId="2E210564" w:rsidR="002B1671" w:rsidRDefault="002B1671" w:rsidP="002B1671">
            <w:pPr>
              <w:pStyle w:val="NormalTableau"/>
            </w:pPr>
            <w:r>
              <w:t xml:space="preserve">min. </w:t>
            </w:r>
            <w:r>
              <w:t>2</w:t>
            </w:r>
            <w:r>
              <w:t>,00 m</w:t>
            </w:r>
          </w:p>
        </w:tc>
      </w:tr>
      <w:tr w:rsidR="002B1671" w14:paraId="7A193DD6" w14:textId="77777777" w:rsidTr="009E63A7">
        <w:trPr>
          <w:jc w:val="center"/>
        </w:trPr>
        <w:tc>
          <w:tcPr>
            <w:tcW w:w="969" w:type="dxa"/>
          </w:tcPr>
          <w:p w14:paraId="751FB0F3" w14:textId="77777777" w:rsidR="002B1671" w:rsidRDefault="002B1671" w:rsidP="009E63A7">
            <w:pPr>
              <w:pStyle w:val="NormalTableau"/>
            </w:pPr>
            <w:r>
              <w:t>arrière</w:t>
            </w:r>
          </w:p>
        </w:tc>
        <w:tc>
          <w:tcPr>
            <w:tcW w:w="1299" w:type="dxa"/>
          </w:tcPr>
          <w:p w14:paraId="5BD4499F" w14:textId="64C0C5C6" w:rsidR="002B1671" w:rsidRDefault="002B1671" w:rsidP="002B1671">
            <w:pPr>
              <w:pStyle w:val="NormalTableau"/>
            </w:pPr>
            <w:r>
              <w:t xml:space="preserve">min. </w:t>
            </w:r>
            <w:r>
              <w:t>2</w:t>
            </w:r>
            <w:r>
              <w:t>,00 m</w:t>
            </w:r>
          </w:p>
        </w:tc>
      </w:tr>
    </w:tbl>
    <w:p w14:paraId="45F81CBE" w14:textId="5270198A" w:rsidR="002B1671" w:rsidRDefault="002B1671" w:rsidP="002B1671">
      <w:pPr>
        <w:rPr>
          <w:lang w:val="fr-FR"/>
        </w:rPr>
      </w:pPr>
    </w:p>
    <w:p w14:paraId="4825AECC" w14:textId="77777777" w:rsidR="002B1671" w:rsidRPr="002B1671" w:rsidRDefault="002B1671" w:rsidP="002B1671">
      <w:pPr>
        <w:rPr>
          <w:b/>
          <w:u w:val="single"/>
          <w:lang w:val="fr-FR"/>
        </w:rPr>
      </w:pPr>
      <w:r w:rsidRPr="002B1671">
        <w:rPr>
          <w:b/>
          <w:u w:val="single"/>
          <w:lang w:val="fr-FR"/>
        </w:rPr>
        <w:t>Titre 7.II</w:t>
      </w:r>
      <w:r w:rsidRPr="002B1671">
        <w:rPr>
          <w:b/>
          <w:u w:val="single"/>
          <w:lang w:val="fr-FR"/>
        </w:rPr>
        <w:t xml:space="preserve"> Dispositions destinées à garantir un développement harmonieux</w:t>
      </w:r>
    </w:p>
    <w:p w14:paraId="28DC9724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7.10 Accès carrossables</w:t>
      </w:r>
    </w:p>
    <w:p w14:paraId="3D61F8AF" w14:textId="36ADDB64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La largeur des accès carrossables le long de l’alignement de voirie, ne doit pas</w:t>
      </w:r>
      <w:r>
        <w:rPr>
          <w:lang w:val="fr-FR"/>
        </w:rPr>
        <w:t xml:space="preserve"> </w:t>
      </w:r>
      <w:r w:rsidRPr="002B1671">
        <w:rPr>
          <w:lang w:val="fr-FR"/>
        </w:rPr>
        <w:t>dépasser max. 7,50 m, sans tenir compte des rayons de braquage.</w:t>
      </w:r>
    </w:p>
    <w:p w14:paraId="728E2FE8" w14:textId="77777777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Leur nombre est limité à 2 par parcelle, soit une entrée et une sortie.</w:t>
      </w:r>
    </w:p>
    <w:p w14:paraId="53D0CB6B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7.11 Clôtures le long de l’alignement de voirie</w:t>
      </w:r>
    </w:p>
    <w:p w14:paraId="3190B074" w14:textId="3D752EA3" w:rsidR="002B1671" w:rsidRDefault="002B1671" w:rsidP="002B1671">
      <w:pPr>
        <w:rPr>
          <w:lang w:val="fr-FR"/>
        </w:rPr>
      </w:pPr>
      <w:r w:rsidRPr="002B1671">
        <w:rPr>
          <w:lang w:val="fr-FR"/>
        </w:rPr>
        <w:t>Sans préjudice des prescriptions relatives à la sécurité et la visibilité du Règlement sur</w:t>
      </w:r>
      <w:r>
        <w:rPr>
          <w:lang w:val="fr-FR"/>
        </w:rPr>
        <w:t xml:space="preserve"> </w:t>
      </w:r>
      <w:r w:rsidRPr="002B1671">
        <w:rPr>
          <w:lang w:val="fr-FR"/>
        </w:rPr>
        <w:t>les bâtisses, les voies publiques et les sites, ces clôtures ne doivent pas dépasser une</w:t>
      </w:r>
      <w:r>
        <w:rPr>
          <w:lang w:val="fr-FR"/>
        </w:rPr>
        <w:t xml:space="preserve"> </w:t>
      </w:r>
      <w:r w:rsidRPr="002B1671">
        <w:rPr>
          <w:lang w:val="fr-FR"/>
        </w:rPr>
        <w:t>hauteur hors-tout de max. 2,00 m au-dessus de la cote de l’axe de la voie</w:t>
      </w:r>
      <w:r>
        <w:rPr>
          <w:lang w:val="fr-FR"/>
        </w:rPr>
        <w:t xml:space="preserve"> </w:t>
      </w:r>
      <w:proofErr w:type="spellStart"/>
      <w:r w:rsidRPr="002B1671">
        <w:rPr>
          <w:lang w:val="fr-FR"/>
        </w:rPr>
        <w:t>desservante</w:t>
      </w:r>
      <w:proofErr w:type="spellEnd"/>
      <w:r w:rsidRPr="002B1671">
        <w:rPr>
          <w:lang w:val="fr-FR"/>
        </w:rPr>
        <w:t>.</w:t>
      </w:r>
    </w:p>
    <w:p w14:paraId="538AEA2C" w14:textId="3AA0A1FA" w:rsidR="002B1671" w:rsidRDefault="002B1671" w:rsidP="002B1671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6E63852C" wp14:editId="7AF8ECC8">
            <wp:extent cx="4124325" cy="1352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2CE42" w14:textId="3473EFA0" w:rsidR="002B1671" w:rsidRDefault="002B1671" w:rsidP="002B1671">
      <w:pPr>
        <w:rPr>
          <w:lang w:val="fr-FR"/>
        </w:rPr>
      </w:pPr>
    </w:p>
    <w:p w14:paraId="193967EC" w14:textId="77777777" w:rsidR="002B1671" w:rsidRPr="002B1671" w:rsidRDefault="002B1671" w:rsidP="002B1671">
      <w:pPr>
        <w:pStyle w:val="Heading2"/>
        <w:rPr>
          <w:lang w:val="fr-FR"/>
        </w:rPr>
      </w:pPr>
      <w:r w:rsidRPr="002B1671">
        <w:rPr>
          <w:lang w:val="fr-FR"/>
        </w:rPr>
        <w:t>Art. 7.12 Clôtures le long des limites parcellaires séparatives</w:t>
      </w:r>
    </w:p>
    <w:p w14:paraId="3D707D56" w14:textId="4F8C0266" w:rsidR="002B1671" w:rsidRPr="002B1671" w:rsidRDefault="002B1671" w:rsidP="002B1671">
      <w:pPr>
        <w:rPr>
          <w:lang w:val="fr-FR"/>
        </w:rPr>
      </w:pPr>
      <w:r w:rsidRPr="002B1671">
        <w:rPr>
          <w:lang w:val="fr-FR"/>
        </w:rPr>
        <w:t>Ces clôtures ne doivent pas dépasser une hauteur hors-tout de max. 2,00 m à partir</w:t>
      </w:r>
      <w:r>
        <w:rPr>
          <w:lang w:val="fr-FR"/>
        </w:rPr>
        <w:t xml:space="preserve"> </w:t>
      </w:r>
      <w:r w:rsidRPr="002B1671">
        <w:rPr>
          <w:lang w:val="fr-FR"/>
        </w:rPr>
        <w:t>du niveau du terrain naturel le plus haut ou à partir du niveau de l’arête supérieure des</w:t>
      </w:r>
      <w:r>
        <w:rPr>
          <w:lang w:val="fr-FR"/>
        </w:rPr>
        <w:t xml:space="preserve"> </w:t>
      </w:r>
      <w:r w:rsidRPr="002B1671">
        <w:rPr>
          <w:lang w:val="fr-FR"/>
        </w:rPr>
        <w:t>ouvrages de soutènement réalisés le long de ces limites.</w:t>
      </w:r>
      <w:bookmarkStart w:id="0" w:name="_GoBack"/>
      <w:bookmarkEnd w:id="0"/>
    </w:p>
    <w:sectPr w:rsidR="002B1671" w:rsidRPr="002B1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1671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table" w:styleId="TableGrid">
    <w:name w:val="Table Grid"/>
    <w:basedOn w:val="TableNormal"/>
    <w:uiPriority w:val="39"/>
    <w:rsid w:val="002B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2022-02-21T08:51:00Z</dcterms:modified>
</cp:coreProperties>
</file>