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A2D89" w14:textId="77777777" w:rsidR="006A68BF" w:rsidRDefault="006A68BF" w:rsidP="006A68BF">
      <w:pPr>
        <w:pStyle w:val="Heading1"/>
        <w:rPr>
          <w:lang w:val="fr-FR"/>
        </w:rPr>
      </w:pPr>
      <w:r>
        <w:rPr>
          <w:lang w:val="fr-FR"/>
        </w:rPr>
        <w:t>Art. 6 Prescriptions des quartiers existants situés dans les zones de bâtiments et d’équipements publics (BEP)</w:t>
      </w:r>
    </w:p>
    <w:p w14:paraId="6802C069" w14:textId="6188C85B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Titre 6.I</w:t>
      </w:r>
      <w:r w:rsidRPr="006A68BF">
        <w:rPr>
          <w:b/>
          <w:u w:val="single"/>
          <w:lang w:val="fr-FR"/>
        </w:rPr>
        <w:t xml:space="preserve"> Mode et degré d’utilisation du sol</w:t>
      </w:r>
    </w:p>
    <w:p w14:paraId="30AEB3D4" w14:textId="77777777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Chapitre 6.I.1 Mode d’utilisation du sol</w:t>
      </w:r>
    </w:p>
    <w:p w14:paraId="39359299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6.1 Disposition des constructions</w:t>
      </w:r>
    </w:p>
    <w:p w14:paraId="5745D577" w14:textId="77777777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Sont autorisées les constructions en ordre contigu et non contigu.</w:t>
      </w:r>
    </w:p>
    <w:p w14:paraId="2D1B26ED" w14:textId="77777777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Chapitre 6.I.2 Degré d’utilisation du sol</w:t>
      </w:r>
    </w:p>
    <w:p w14:paraId="05B10CC5" w14:textId="77777777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Section 6.I.2.1 Constructions principales hors-sols</w:t>
      </w:r>
    </w:p>
    <w:p w14:paraId="38FDEE07" w14:textId="610429CB" w:rsidR="006605E2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6.2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6A68BF" w14:paraId="65E50E73" w14:textId="77777777" w:rsidTr="009E63A7">
        <w:trPr>
          <w:jc w:val="center"/>
        </w:trPr>
        <w:tc>
          <w:tcPr>
            <w:tcW w:w="2268" w:type="dxa"/>
            <w:gridSpan w:val="2"/>
            <w:vAlign w:val="center"/>
          </w:tcPr>
          <w:p w14:paraId="752D4CB7" w14:textId="77777777" w:rsidR="006A68BF" w:rsidRDefault="006A68BF" w:rsidP="009E63A7">
            <w:pPr>
              <w:pStyle w:val="NormalTableau"/>
              <w:jc w:val="center"/>
            </w:pPr>
            <w:r>
              <w:t>Reculs</w:t>
            </w:r>
          </w:p>
        </w:tc>
      </w:tr>
      <w:tr w:rsidR="006A68BF" w14:paraId="1CA03EA2" w14:textId="77777777" w:rsidTr="009E63A7">
        <w:trPr>
          <w:jc w:val="center"/>
        </w:trPr>
        <w:tc>
          <w:tcPr>
            <w:tcW w:w="969" w:type="dxa"/>
          </w:tcPr>
          <w:p w14:paraId="1F68494A" w14:textId="77777777" w:rsidR="006A68BF" w:rsidRDefault="006A68BF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7ED06ADB" w14:textId="4C9D0962" w:rsidR="006A68BF" w:rsidRDefault="006A68BF" w:rsidP="006A68BF">
            <w:pPr>
              <w:pStyle w:val="NormalTableau"/>
            </w:pPr>
            <w:r>
              <w:t xml:space="preserve">min. </w:t>
            </w:r>
            <w:r>
              <w:t>1</w:t>
            </w:r>
            <w:r>
              <w:t>,</w:t>
            </w:r>
            <w:r>
              <w:t>9</w:t>
            </w:r>
            <w:r>
              <w:t>0 m</w:t>
            </w:r>
          </w:p>
        </w:tc>
      </w:tr>
      <w:tr w:rsidR="006A68BF" w14:paraId="20AE471F" w14:textId="77777777" w:rsidTr="009E63A7">
        <w:trPr>
          <w:jc w:val="center"/>
        </w:trPr>
        <w:tc>
          <w:tcPr>
            <w:tcW w:w="969" w:type="dxa"/>
          </w:tcPr>
          <w:p w14:paraId="4A8F960E" w14:textId="77777777" w:rsidR="006A68BF" w:rsidRDefault="006A68BF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017C82B0" w14:textId="270E20E6" w:rsidR="006A68BF" w:rsidRDefault="006A68BF" w:rsidP="006A68BF">
            <w:pPr>
              <w:pStyle w:val="NormalTableau"/>
            </w:pPr>
            <w:r>
              <w:t xml:space="preserve">min. </w:t>
            </w:r>
            <w:r>
              <w:t>1</w:t>
            </w:r>
            <w:r>
              <w:t>,</w:t>
            </w:r>
            <w:r>
              <w:t>9</w:t>
            </w:r>
            <w:r>
              <w:t>0 m</w:t>
            </w:r>
          </w:p>
        </w:tc>
      </w:tr>
      <w:tr w:rsidR="006A68BF" w14:paraId="591C79D3" w14:textId="77777777" w:rsidTr="009E63A7">
        <w:trPr>
          <w:jc w:val="center"/>
        </w:trPr>
        <w:tc>
          <w:tcPr>
            <w:tcW w:w="969" w:type="dxa"/>
          </w:tcPr>
          <w:p w14:paraId="58EB380B" w14:textId="77777777" w:rsidR="006A68BF" w:rsidRDefault="006A68BF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52D1E3C9" w14:textId="31D53BC1" w:rsidR="006A68BF" w:rsidRDefault="006A68BF" w:rsidP="006A68BF">
            <w:pPr>
              <w:pStyle w:val="NormalTableau"/>
            </w:pPr>
            <w:r>
              <w:t xml:space="preserve">min. </w:t>
            </w:r>
            <w:r>
              <w:t>1</w:t>
            </w:r>
            <w:r>
              <w:t>,</w:t>
            </w:r>
            <w:r>
              <w:t>9</w:t>
            </w:r>
            <w:r>
              <w:t>0 m</w:t>
            </w:r>
          </w:p>
        </w:tc>
      </w:tr>
    </w:tbl>
    <w:p w14:paraId="77C44302" w14:textId="5C622C56" w:rsidR="006A68BF" w:rsidRDefault="006A68BF" w:rsidP="006A68BF">
      <w:pPr>
        <w:rPr>
          <w:lang w:val="fr-FR"/>
        </w:rPr>
      </w:pPr>
    </w:p>
    <w:p w14:paraId="7B78C6F3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6.3 Hauteurs à la corniche, à l’acrotère et au faîte</w:t>
      </w:r>
    </w:p>
    <w:p w14:paraId="637542AC" w14:textId="77777777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La hauteur maximale autorisée hors-tout est de max. 13,00 m.</w:t>
      </w:r>
    </w:p>
    <w:p w14:paraId="248BBDFE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6.4 Nombre de niveaux</w:t>
      </w:r>
    </w:p>
    <w:p w14:paraId="20047644" w14:textId="77777777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Le nombre de niveaux n’est pas limité.</w:t>
      </w:r>
    </w:p>
    <w:p w14:paraId="6639E2FF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6.5 Nombre d’unités de logement</w:t>
      </w:r>
    </w:p>
    <w:p w14:paraId="55C637BD" w14:textId="77777777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Le nombre d’unités de logements n’est pas limité.</w:t>
      </w:r>
    </w:p>
    <w:p w14:paraId="3055251A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 xml:space="preserve">Art. 6.6 Constructions principales en seconde position par rapport à la même voie </w:t>
      </w:r>
      <w:proofErr w:type="spellStart"/>
      <w:r w:rsidRPr="006A68BF">
        <w:rPr>
          <w:lang w:val="fr-FR"/>
        </w:rPr>
        <w:t>desservante</w:t>
      </w:r>
      <w:proofErr w:type="spellEnd"/>
    </w:p>
    <w:p w14:paraId="4D7D2F4F" w14:textId="77777777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Seuls les services et le stockage sont autorisés en seconde position.</w:t>
      </w:r>
    </w:p>
    <w:p w14:paraId="568CD3DF" w14:textId="77777777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Section 6.I.2.2 Dépendances</w:t>
      </w:r>
    </w:p>
    <w:p w14:paraId="73A8FA9C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6.7 Dépendances</w:t>
      </w:r>
    </w:p>
    <w:p w14:paraId="3D4BB52F" w14:textId="716B2992" w:rsidR="006A68BF" w:rsidRDefault="006A68BF" w:rsidP="006A68BF">
      <w:pPr>
        <w:rPr>
          <w:lang w:val="fr-FR"/>
        </w:rPr>
      </w:pPr>
      <w:r w:rsidRPr="006A68BF">
        <w:rPr>
          <w:lang w:val="fr-FR"/>
        </w:rPr>
        <w:t>L’emprise au sol cumulée des dépendances, n’est pas limitée.</w:t>
      </w:r>
    </w:p>
    <w:p w14:paraId="3C348051" w14:textId="77777777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Section 6.I.2.3 Constructions souterraines</w:t>
      </w:r>
    </w:p>
    <w:p w14:paraId="452B6CDB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6.8 Constructions souterraines</w:t>
      </w:r>
    </w:p>
    <w:p w14:paraId="33F48536" w14:textId="76D41361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Les constructions souterraines doivent respecter les reculs imposés aux constructions</w:t>
      </w:r>
      <w:r>
        <w:rPr>
          <w:lang w:val="fr-FR"/>
        </w:rPr>
        <w:t xml:space="preserve"> </w:t>
      </w:r>
      <w:r w:rsidRPr="006A68BF">
        <w:rPr>
          <w:lang w:val="fr-FR"/>
        </w:rPr>
        <w:t>principales hors-sols.</w:t>
      </w:r>
    </w:p>
    <w:p w14:paraId="1723B168" w14:textId="256D14A6" w:rsidR="006A68BF" w:rsidRPr="006A68BF" w:rsidRDefault="006A68BF" w:rsidP="006A68BF">
      <w:pPr>
        <w:rPr>
          <w:b/>
          <w:u w:val="single"/>
          <w:lang w:val="fr-FR"/>
        </w:rPr>
      </w:pPr>
      <w:r w:rsidRPr="006A68BF">
        <w:rPr>
          <w:b/>
          <w:u w:val="single"/>
          <w:lang w:val="fr-FR"/>
        </w:rPr>
        <w:t>Titre 6.II</w:t>
      </w:r>
      <w:r w:rsidRPr="006A68BF">
        <w:rPr>
          <w:b/>
          <w:u w:val="single"/>
          <w:lang w:val="fr-FR"/>
        </w:rPr>
        <w:t xml:space="preserve"> Dispositions destinées à garantir un développement harmonieux</w:t>
      </w:r>
    </w:p>
    <w:p w14:paraId="4F59A072" w14:textId="77777777" w:rsidR="006A68BF" w:rsidRPr="006A68BF" w:rsidRDefault="006A68BF" w:rsidP="006A68BF">
      <w:pPr>
        <w:pStyle w:val="Heading2"/>
        <w:rPr>
          <w:lang w:val="fr-FR"/>
        </w:rPr>
      </w:pPr>
      <w:r w:rsidRPr="006A68BF">
        <w:rPr>
          <w:lang w:val="fr-FR"/>
        </w:rPr>
        <w:t>Art. 6.9 Accès carrossables</w:t>
      </w:r>
    </w:p>
    <w:p w14:paraId="41C081D3" w14:textId="63B55230" w:rsidR="006A68BF" w:rsidRPr="006A68BF" w:rsidRDefault="006A68BF" w:rsidP="006A68BF">
      <w:pPr>
        <w:rPr>
          <w:lang w:val="fr-FR"/>
        </w:rPr>
      </w:pPr>
      <w:r w:rsidRPr="006A68BF">
        <w:rPr>
          <w:lang w:val="fr-FR"/>
        </w:rPr>
        <w:t>La largeur des accès carrossables le long de l’alignement de voirie, ne doit pas</w:t>
      </w:r>
      <w:r>
        <w:rPr>
          <w:lang w:val="fr-FR"/>
        </w:rPr>
        <w:t xml:space="preserve"> </w:t>
      </w:r>
      <w:r w:rsidRPr="006A68BF">
        <w:rPr>
          <w:lang w:val="fr-FR"/>
        </w:rPr>
        <w:t>dépasser max. 7,50 m, sans tenir compte des rayons de braquage.</w:t>
      </w:r>
    </w:p>
    <w:p w14:paraId="3726BEAD" w14:textId="3E1ED8B9" w:rsidR="006A68BF" w:rsidRDefault="006A68BF" w:rsidP="006A68BF">
      <w:pPr>
        <w:rPr>
          <w:lang w:val="fr-FR"/>
        </w:rPr>
      </w:pPr>
      <w:r w:rsidRPr="006A68BF">
        <w:rPr>
          <w:lang w:val="fr-FR"/>
        </w:rPr>
        <w:t>Leur nombre est limité à 2 par parcelle, soit une entrée et une sortie.</w:t>
      </w:r>
    </w:p>
    <w:p w14:paraId="406D1084" w14:textId="77777777" w:rsidR="006A68BF" w:rsidRPr="006605E2" w:rsidRDefault="006A68BF" w:rsidP="006A68BF">
      <w:pPr>
        <w:rPr>
          <w:lang w:val="fr-FR"/>
        </w:rPr>
      </w:pPr>
      <w:bookmarkStart w:id="0" w:name="_GoBack"/>
      <w:bookmarkEnd w:id="0"/>
    </w:p>
    <w:sectPr w:rsidR="006A68B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68BF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6A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2022-02-21T08:46:00Z</dcterms:modified>
</cp:coreProperties>
</file>