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E4048" w14:textId="2F86E892" w:rsidR="006C22B2" w:rsidRPr="006C22B2" w:rsidRDefault="006C22B2" w:rsidP="006C22B2">
      <w:pPr>
        <w:pStyle w:val="Heading1"/>
        <w:rPr>
          <w:lang w:val="fr-LU"/>
        </w:rPr>
      </w:pPr>
      <w:r w:rsidRPr="006C22B2">
        <w:rPr>
          <w:lang w:val="fr-LU"/>
        </w:rPr>
        <w:t>Art. 29 Secteur et élément protégé d’intérêt communal – environnement construit "C"</w:t>
      </w:r>
    </w:p>
    <w:p w14:paraId="00B4D085" w14:textId="6846FF29" w:rsidR="006C22B2" w:rsidRPr="006C22B2" w:rsidRDefault="006C22B2" w:rsidP="006C22B2">
      <w:pPr>
        <w:rPr>
          <w:lang w:val="fr-LU"/>
        </w:rPr>
      </w:pPr>
      <w:r w:rsidRPr="006C22B2">
        <w:rPr>
          <w:lang w:val="fr-LU"/>
        </w:rPr>
        <w:t xml:space="preserve">Le secteur et élément protégé de type </w:t>
      </w:r>
      <w:r>
        <w:rPr>
          <w:lang w:val="fr-LU"/>
        </w:rPr>
        <w:t>« environnement construit »</w:t>
      </w:r>
      <w:r w:rsidRPr="006C22B2">
        <w:rPr>
          <w:lang w:val="fr-LU"/>
        </w:rPr>
        <w:t xml:space="preserve"> constitue les parties du territoire communal qui comprend des immeubles ou parties d’immeubles dignes de protection et qui répondent à un ou plusieurs des critères suivants : authenticité de la substance bâtie, de son aménagement, rareté, exemplarité du type de bâtiment, importance architecturale, témoignage de l’immeuble pour l’histoire nationale, locale, sociale, politique, religieuse, militaire, technique ou industrielle.</w:t>
      </w:r>
    </w:p>
    <w:p w14:paraId="33B020EF" w14:textId="1A6290E7" w:rsidR="006C22B2" w:rsidRPr="006C22B2" w:rsidRDefault="006C22B2" w:rsidP="006C22B2">
      <w:pPr>
        <w:rPr>
          <w:lang w:val="fr-LU"/>
        </w:rPr>
      </w:pPr>
      <w:r w:rsidRPr="006C22B2">
        <w:rPr>
          <w:lang w:val="fr-LU"/>
        </w:rPr>
        <w:t xml:space="preserve">Le secteur protégé de type </w:t>
      </w:r>
      <w:r>
        <w:rPr>
          <w:lang w:val="fr-LU"/>
        </w:rPr>
        <w:t>« environnement construit »</w:t>
      </w:r>
      <w:r w:rsidRPr="006C22B2">
        <w:rPr>
          <w:lang w:val="fr-LU"/>
        </w:rPr>
        <w:t xml:space="preserve"> </w:t>
      </w:r>
      <w:r>
        <w:rPr>
          <w:lang w:val="fr-LU"/>
        </w:rPr>
        <w:t>est marqué de la surimpression « </w:t>
      </w:r>
      <w:r w:rsidRPr="006C22B2">
        <w:rPr>
          <w:lang w:val="fr-LU"/>
        </w:rPr>
        <w:t>C</w:t>
      </w:r>
      <w:r>
        <w:rPr>
          <w:lang w:val="fr-LU"/>
        </w:rPr>
        <w:t> »</w:t>
      </w:r>
      <w:r w:rsidRPr="006C22B2">
        <w:rPr>
          <w:lang w:val="fr-LU"/>
        </w:rPr>
        <w:t>.</w:t>
      </w:r>
    </w:p>
    <w:p w14:paraId="6A91C9FE" w14:textId="77777777" w:rsidR="006C22B2" w:rsidRDefault="006C22B2" w:rsidP="006C22B2">
      <w:pPr>
        <w:rPr>
          <w:lang w:val="fr-LU"/>
        </w:rPr>
      </w:pPr>
      <w:r>
        <w:rPr>
          <w:lang w:val="fr-LU"/>
        </w:rPr>
        <w:t>Les secteurs protégés de type « environnement construit » englobe les:</w:t>
      </w:r>
    </w:p>
    <w:p w14:paraId="6AB423D5" w14:textId="0E29B7C4" w:rsidR="006C22B2" w:rsidRDefault="00DB4F65" w:rsidP="006C22B2">
      <w:pPr>
        <w:pStyle w:val="ListParagraph"/>
        <w:numPr>
          <w:ilvl w:val="0"/>
          <w:numId w:val="8"/>
        </w:numPr>
        <w:rPr>
          <w:lang w:val="fr-LU"/>
        </w:rPr>
      </w:pPr>
      <w:proofErr w:type="gramStart"/>
      <w:r>
        <w:rPr>
          <w:lang w:val="fr-LU"/>
        </w:rPr>
        <w:t>c</w:t>
      </w:r>
      <w:r w:rsidR="006C22B2" w:rsidRPr="006C22B2">
        <w:rPr>
          <w:lang w:val="fr-LU"/>
        </w:rPr>
        <w:t>onstruction</w:t>
      </w:r>
      <w:proofErr w:type="gramEnd"/>
      <w:r w:rsidR="006C22B2" w:rsidRPr="006C22B2">
        <w:rPr>
          <w:lang w:val="fr-LU"/>
        </w:rPr>
        <w:t xml:space="preserve"> protégée,</w:t>
      </w:r>
      <w:r w:rsidR="006C22B2" w:rsidRPr="006C22B2">
        <w:rPr>
          <w:lang w:val="fr-LU"/>
        </w:rPr>
        <w:tab/>
        <w:t>hachure bleue dans la partie graphique du PAG</w:t>
      </w:r>
    </w:p>
    <w:p w14:paraId="141DE4D7" w14:textId="746014B9" w:rsidR="006C22B2" w:rsidRDefault="006C22B2" w:rsidP="006C22B2">
      <w:pPr>
        <w:pStyle w:val="ListParagraph"/>
        <w:numPr>
          <w:ilvl w:val="0"/>
          <w:numId w:val="8"/>
        </w:numPr>
        <w:rPr>
          <w:lang w:val="fr-LU"/>
        </w:rPr>
      </w:pPr>
      <w:proofErr w:type="gramStart"/>
      <w:r w:rsidRPr="006C22B2">
        <w:rPr>
          <w:lang w:val="fr-LU"/>
        </w:rPr>
        <w:t>gabarit</w:t>
      </w:r>
      <w:proofErr w:type="gramEnd"/>
      <w:r w:rsidRPr="006C22B2">
        <w:rPr>
          <w:lang w:val="fr-LU"/>
        </w:rPr>
        <w:t xml:space="preserve"> protégé,</w:t>
      </w:r>
      <w:r w:rsidRPr="006C22B2">
        <w:rPr>
          <w:lang w:val="fr-LU"/>
        </w:rPr>
        <w:tab/>
      </w:r>
      <w:r>
        <w:rPr>
          <w:lang w:val="fr-LU"/>
        </w:rPr>
        <w:tab/>
      </w:r>
      <w:r w:rsidRPr="006C22B2">
        <w:rPr>
          <w:lang w:val="fr-LU"/>
        </w:rPr>
        <w:t>contour bleu dans la partie graphique du PAG</w:t>
      </w:r>
    </w:p>
    <w:p w14:paraId="054F3458" w14:textId="2507E5F5" w:rsidR="006C22B2" w:rsidRDefault="006C22B2" w:rsidP="006C22B2">
      <w:pPr>
        <w:pStyle w:val="ListParagraph"/>
        <w:numPr>
          <w:ilvl w:val="0"/>
          <w:numId w:val="8"/>
        </w:numPr>
        <w:rPr>
          <w:lang w:val="fr-LU"/>
        </w:rPr>
      </w:pPr>
      <w:proofErr w:type="gramStart"/>
      <w:r w:rsidRPr="006C22B2">
        <w:rPr>
          <w:lang w:val="fr-LU"/>
        </w:rPr>
        <w:t>alignement</w:t>
      </w:r>
      <w:proofErr w:type="gramEnd"/>
      <w:r w:rsidRPr="006C22B2">
        <w:rPr>
          <w:lang w:val="fr-LU"/>
        </w:rPr>
        <w:t xml:space="preserve"> protégé,</w:t>
      </w:r>
      <w:r w:rsidRPr="006C22B2">
        <w:rPr>
          <w:lang w:val="fr-LU"/>
        </w:rPr>
        <w:tab/>
      </w:r>
      <w:r>
        <w:rPr>
          <w:lang w:val="fr-LU"/>
        </w:rPr>
        <w:tab/>
      </w:r>
      <w:r w:rsidRPr="006C22B2">
        <w:rPr>
          <w:lang w:val="fr-LU"/>
        </w:rPr>
        <w:t>trait bleu dans la partie graphique du PAG</w:t>
      </w:r>
    </w:p>
    <w:p w14:paraId="4FBEA2FE" w14:textId="3B0DBF72" w:rsidR="006C22B2" w:rsidRDefault="006C22B2" w:rsidP="006C22B2">
      <w:pPr>
        <w:pStyle w:val="ListParagraph"/>
        <w:numPr>
          <w:ilvl w:val="0"/>
          <w:numId w:val="8"/>
        </w:numPr>
        <w:rPr>
          <w:lang w:val="fr-LU"/>
        </w:rPr>
      </w:pPr>
      <w:proofErr w:type="gramStart"/>
      <w:r w:rsidRPr="006C22B2">
        <w:rPr>
          <w:lang w:val="fr-LU"/>
        </w:rPr>
        <w:t>petit</w:t>
      </w:r>
      <w:proofErr w:type="gramEnd"/>
      <w:r w:rsidRPr="006C22B2">
        <w:rPr>
          <w:lang w:val="fr-LU"/>
        </w:rPr>
        <w:t xml:space="preserve"> patrimoine,</w:t>
      </w:r>
      <w:r w:rsidRPr="006C22B2">
        <w:rPr>
          <w:lang w:val="fr-LU"/>
        </w:rPr>
        <w:tab/>
      </w:r>
      <w:r>
        <w:rPr>
          <w:lang w:val="fr-LU"/>
        </w:rPr>
        <w:tab/>
      </w:r>
      <w:r w:rsidRPr="006C22B2">
        <w:rPr>
          <w:lang w:val="fr-LU"/>
        </w:rPr>
        <w:t>triangle bleu dans la partie graphique du PAG</w:t>
      </w:r>
    </w:p>
    <w:p w14:paraId="2B9453D0" w14:textId="12F2DE54" w:rsidR="006C22B2" w:rsidRDefault="006C22B2" w:rsidP="006C22B2">
      <w:pPr>
        <w:pStyle w:val="ListParagraph"/>
        <w:numPr>
          <w:ilvl w:val="0"/>
          <w:numId w:val="8"/>
        </w:numPr>
        <w:rPr>
          <w:lang w:val="fr-LU"/>
        </w:rPr>
      </w:pPr>
      <w:proofErr w:type="gramStart"/>
      <w:r w:rsidRPr="006C22B2">
        <w:rPr>
          <w:lang w:val="fr-LU"/>
        </w:rPr>
        <w:t>mur</w:t>
      </w:r>
      <w:proofErr w:type="gramEnd"/>
      <w:r w:rsidRPr="006C22B2">
        <w:rPr>
          <w:lang w:val="fr-LU"/>
        </w:rPr>
        <w:t xml:space="preserve"> protégé,</w:t>
      </w:r>
      <w:r w:rsidRPr="006C22B2">
        <w:rPr>
          <w:lang w:val="fr-LU"/>
        </w:rPr>
        <w:tab/>
      </w:r>
      <w:r>
        <w:rPr>
          <w:lang w:val="fr-LU"/>
        </w:rPr>
        <w:tab/>
      </w:r>
      <w:r>
        <w:rPr>
          <w:lang w:val="fr-LU"/>
        </w:rPr>
        <w:tab/>
      </w:r>
      <w:r w:rsidRPr="006C22B2">
        <w:rPr>
          <w:lang w:val="fr-LU"/>
        </w:rPr>
        <w:t>trait discontinu bleu dans la partie graphique du PAG</w:t>
      </w:r>
    </w:p>
    <w:p w14:paraId="4FCC0A7F" w14:textId="7D6D7AA2" w:rsidR="006C22B2" w:rsidRPr="006C22B2" w:rsidRDefault="00663AFF" w:rsidP="006C22B2">
      <w:pPr>
        <w:pStyle w:val="ListParagraph"/>
        <w:numPr>
          <w:ilvl w:val="0"/>
          <w:numId w:val="8"/>
        </w:numPr>
        <w:rPr>
          <w:lang w:val="fr-LU"/>
        </w:rPr>
      </w:pPr>
      <w:r>
        <w:rPr>
          <w:lang w:val="fr-LU"/>
        </w:rPr>
        <w:t>allée d’arbres,</w:t>
      </w:r>
      <w:r>
        <w:rPr>
          <w:lang w:val="fr-LU"/>
        </w:rPr>
        <w:tab/>
      </w:r>
      <w:r>
        <w:rPr>
          <w:lang w:val="fr-LU"/>
        </w:rPr>
        <w:tab/>
      </w:r>
      <w:r>
        <w:rPr>
          <w:lang w:val="fr-LU"/>
        </w:rPr>
        <w:tab/>
      </w:r>
      <w:r w:rsidR="006C22B2" w:rsidRPr="006C22B2">
        <w:rPr>
          <w:lang w:val="fr-LU"/>
        </w:rPr>
        <w:t>croix bleue dans la partie graphique du PAG</w:t>
      </w:r>
    </w:p>
    <w:p w14:paraId="61BB9C53" w14:textId="492B123C" w:rsidR="006C22B2" w:rsidRPr="006C22B2" w:rsidRDefault="006C22B2" w:rsidP="006C22B2">
      <w:pPr>
        <w:rPr>
          <w:lang w:val="fr-LU"/>
        </w:rPr>
      </w:pPr>
      <w:r w:rsidRPr="006C22B2">
        <w:rPr>
          <w:lang w:val="fr-LU"/>
        </w:rPr>
        <w:t xml:space="preserve">Les travaux à réaliser sur les autres bâtiments se trouvant dans le secteur protégé, ainsi que la construction de nouveaux immeubles situés dans le secteur protégé </w:t>
      </w:r>
      <w:r>
        <w:rPr>
          <w:lang w:val="fr-LU"/>
        </w:rPr>
        <w:t>"</w:t>
      </w:r>
      <w:r w:rsidRPr="006C22B2">
        <w:rPr>
          <w:lang w:val="fr-LU"/>
        </w:rPr>
        <w:t>C", doivent s'intégrer dans la structure caractéristique du bâti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 traditionnelles de la région. Une architecture contemporaine de qualité est de mise pour toute nouvelle construction. L’implantation des constructions est déterminée en s’inspirant du contexte et notamment des constructions existantes voisines et du site. Pour des raisons urbanistiques et de sécurité, elle pourra aussi être définie par l’administration communale.</w:t>
      </w:r>
    </w:p>
    <w:p w14:paraId="75691575" w14:textId="77777777" w:rsidR="006C22B2" w:rsidRPr="006C22B2" w:rsidRDefault="006C22B2" w:rsidP="006C22B2">
      <w:pPr>
        <w:rPr>
          <w:lang w:val="fr-LU"/>
        </w:rPr>
      </w:pPr>
      <w:r w:rsidRPr="006C22B2">
        <w:rPr>
          <w:lang w:val="fr-LU"/>
        </w:rPr>
        <w:t>La démolition de bâtiments n’est autorisée que pour autant que le propriétaire soit détenteur d’une autorisation de bâtir. Au cas où un bâtiment ou une partie d’un bâtiment risque de s’écrouler, une démolition peut être autorisée après avis positif d’un expert en statique.</w:t>
      </w:r>
    </w:p>
    <w:p w14:paraId="5B692CA1" w14:textId="4092DC11" w:rsidR="006C22B2" w:rsidRPr="006C22B2" w:rsidRDefault="006C22B2" w:rsidP="006C22B2">
      <w:pPr>
        <w:rPr>
          <w:lang w:val="fr-LU"/>
        </w:rPr>
      </w:pPr>
      <w:r w:rsidRPr="006C22B2">
        <w:rPr>
          <w:lang w:val="fr-LU"/>
        </w:rPr>
        <w:t xml:space="preserve">En cas de contradiction entre les dispositions de la présente partie écrite et celles des parties écrites des plans d’aménagement particuliers </w:t>
      </w:r>
      <w:r>
        <w:rPr>
          <w:lang w:val="fr-LU"/>
        </w:rPr>
        <w:t>« </w:t>
      </w:r>
      <w:r w:rsidRPr="006C22B2">
        <w:rPr>
          <w:lang w:val="fr-LU"/>
        </w:rPr>
        <w:t>quartier existant</w:t>
      </w:r>
      <w:r>
        <w:rPr>
          <w:lang w:val="fr-LU"/>
        </w:rPr>
        <w:t> »</w:t>
      </w:r>
      <w:r w:rsidRPr="006C22B2">
        <w:rPr>
          <w:lang w:val="fr-LU"/>
        </w:rPr>
        <w:t xml:space="preserve"> (PAP QE) et du règlement sur les bâtisses, les dispositions de la présente partie écrite font foi.</w:t>
      </w:r>
    </w:p>
    <w:p w14:paraId="6CE1F188" w14:textId="77777777" w:rsidR="006C22B2" w:rsidRPr="006C22B2" w:rsidRDefault="006C22B2" w:rsidP="006C22B2">
      <w:pPr>
        <w:rPr>
          <w:lang w:val="fr-LU"/>
        </w:rPr>
      </w:pPr>
      <w:r w:rsidRPr="006C22B2">
        <w:rPr>
          <w:lang w:val="fr-LU"/>
        </w:rPr>
        <w:t>En cas de divergence entre l’inscription de la construction sur le fond de plan, c.à.d. le plan cadastral, et l’implantation réelle, l’alignement des façades et/ou le volume des constructions existantes fait foi. Un mesurage cadastral sera exigé.</w:t>
      </w:r>
    </w:p>
    <w:p w14:paraId="32FBCE77" w14:textId="77777777" w:rsidR="006C22B2" w:rsidRPr="006C22B2" w:rsidRDefault="006C22B2" w:rsidP="006C22B2">
      <w:pPr>
        <w:rPr>
          <w:b/>
          <w:u w:val="single"/>
          <w:lang w:val="fr-LU"/>
        </w:rPr>
      </w:pPr>
      <w:r w:rsidRPr="006C22B2">
        <w:rPr>
          <w:b/>
          <w:u w:val="single"/>
          <w:lang w:val="fr-LU"/>
        </w:rPr>
        <w:lastRenderedPageBreak/>
        <w:t>Assainissement énergétique</w:t>
      </w:r>
    </w:p>
    <w:p w14:paraId="012C7FFB" w14:textId="7DBAA728" w:rsidR="006C22B2" w:rsidRPr="006C22B2" w:rsidRDefault="006C22B2" w:rsidP="006C22B2">
      <w:pPr>
        <w:rPr>
          <w:lang w:val="fr-LU"/>
        </w:rPr>
      </w:pPr>
      <w:r w:rsidRPr="006C22B2">
        <w:rPr>
          <w:lang w:val="fr-LU"/>
        </w:rPr>
        <w:t>Pour les bâtiments protégés et ceux dont le gabarit sont protégés, l'article 10 du règlement grand-ducal du 31 août 2010 concernant la performance énergétique des bâtiments fonctionnels et l'article 8bis bis du règlement grand-ducal modifié du 30 novembre 2007 concernant la performance énergét</w:t>
      </w:r>
      <w:r>
        <w:rPr>
          <w:lang w:val="fr-LU"/>
        </w:rPr>
        <w:t>ique des bâtiments d’habitation</w:t>
      </w:r>
      <w:r w:rsidRPr="006C22B2">
        <w:rPr>
          <w:lang w:val="fr-LU"/>
        </w:rPr>
        <w:t xml:space="preserve"> prévoit des dérogations au niveau du respect des exigences minimales, afin de conserver le caractère de ces bâtiments.</w:t>
      </w:r>
    </w:p>
    <w:p w14:paraId="23365E02" w14:textId="77777777" w:rsidR="006C22B2" w:rsidRPr="006C22B2" w:rsidRDefault="006C22B2" w:rsidP="006C22B2">
      <w:pPr>
        <w:rPr>
          <w:b/>
          <w:u w:val="single"/>
          <w:lang w:val="fr-LU"/>
        </w:rPr>
      </w:pPr>
      <w:r w:rsidRPr="006C22B2">
        <w:rPr>
          <w:b/>
          <w:u w:val="single"/>
          <w:lang w:val="fr-LU"/>
        </w:rPr>
        <w:t>Autorisations et avis</w:t>
      </w:r>
    </w:p>
    <w:p w14:paraId="77C13171" w14:textId="0B0B680D" w:rsidR="006C22B2" w:rsidRPr="006C22B2" w:rsidRDefault="006C22B2" w:rsidP="006C22B2">
      <w:pPr>
        <w:rPr>
          <w:lang w:val="fr-LU"/>
        </w:rPr>
      </w:pPr>
      <w:r w:rsidRPr="006C22B2">
        <w:rPr>
          <w:lang w:val="fr-LU"/>
        </w:rPr>
        <w:t>Tout projet de travaux ainsi que toute autre intervention architecturale et/ou urbanistique dans les secteurs protégés sont soumis à l'autorité compétente, qui peut, avant toute décision, soumettre le projet pour avis</w:t>
      </w:r>
      <w:r w:rsidR="00373836">
        <w:rPr>
          <w:lang w:val="fr-LU"/>
        </w:rPr>
        <w:t xml:space="preserve"> à </w:t>
      </w:r>
      <w:r w:rsidR="00373836">
        <w:rPr>
          <w:lang w:val="fr-LU"/>
        </w:rPr>
        <w:t>l’Institut national pour le patrimoine architectural.</w:t>
      </w:r>
      <w:bookmarkStart w:id="0" w:name="_GoBack"/>
      <w:bookmarkEnd w:id="0"/>
    </w:p>
    <w:p w14:paraId="4992A2AA" w14:textId="77777777" w:rsidR="006C22B2" w:rsidRPr="006C22B2" w:rsidRDefault="006C22B2" w:rsidP="006C22B2">
      <w:pPr>
        <w:rPr>
          <w:lang w:val="fr-LU"/>
        </w:rPr>
      </w:pPr>
      <w:r w:rsidRPr="006C22B2">
        <w:rPr>
          <w:lang w:val="fr-LU"/>
        </w:rPr>
        <w:t>La démolition de bâtiments situés dans le secteur protégé n’est autorisée que pour autant que le propriétaire soit détenteur d’une autorisation de construire et sans porter préjudice aux prescriptions de la présente partie écrite.</w:t>
      </w:r>
    </w:p>
    <w:p w14:paraId="380E9F0B" w14:textId="6B27DD2F" w:rsidR="00D44A8A" w:rsidRPr="006C22B2" w:rsidRDefault="006C22B2" w:rsidP="006C22B2">
      <w:pPr>
        <w:rPr>
          <w:lang w:val="fr-LU"/>
        </w:rPr>
      </w:pPr>
      <w:r w:rsidRPr="006C22B2">
        <w:rPr>
          <w:lang w:val="fr-LU"/>
        </w:rPr>
        <w:t xml:space="preserve">Toute demande d’autorisation de construire concernant un </w:t>
      </w:r>
      <w:r>
        <w:rPr>
          <w:lang w:val="fr-LU"/>
        </w:rPr>
        <w:t>« </w:t>
      </w:r>
      <w:r w:rsidRPr="006C22B2">
        <w:rPr>
          <w:lang w:val="fr-LU"/>
        </w:rPr>
        <w:t>gabarit protégé</w:t>
      </w:r>
      <w:r>
        <w:rPr>
          <w:lang w:val="fr-LU"/>
        </w:rPr>
        <w:t> »</w:t>
      </w:r>
      <w:r w:rsidRPr="006C22B2">
        <w:rPr>
          <w:lang w:val="fr-LU"/>
        </w:rPr>
        <w:t xml:space="preserve"> et un </w:t>
      </w:r>
      <w:r>
        <w:rPr>
          <w:lang w:val="fr-LU"/>
        </w:rPr>
        <w:t>« </w:t>
      </w:r>
      <w:r w:rsidRPr="006C22B2">
        <w:rPr>
          <w:lang w:val="fr-LU"/>
        </w:rPr>
        <w:t>alignement protégé</w:t>
      </w:r>
      <w:r>
        <w:rPr>
          <w:lang w:val="fr-LU"/>
        </w:rPr>
        <w:t> »</w:t>
      </w:r>
      <w:r w:rsidRPr="006C22B2">
        <w:rPr>
          <w:lang w:val="fr-LU"/>
        </w:rPr>
        <w:t xml:space="preserve"> doit être accompagnée d’un levé topographique et cadastral, réalisé par un géomètre agréé, qui définit de manière précise les limites cadastrales ainsi que l’implantation du bâti existant par rapport à ces limites.</w:t>
      </w:r>
    </w:p>
    <w:sectPr w:rsidR="00D44A8A" w:rsidRPr="006C22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FE55B0"/>
    <w:multiLevelType w:val="hybridMultilevel"/>
    <w:tmpl w:val="0D863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A63B8"/>
    <w:rsid w:val="00373836"/>
    <w:rsid w:val="00387019"/>
    <w:rsid w:val="0039622D"/>
    <w:rsid w:val="004D5289"/>
    <w:rsid w:val="006202CB"/>
    <w:rsid w:val="006605E2"/>
    <w:rsid w:val="00663AFF"/>
    <w:rsid w:val="006C22B2"/>
    <w:rsid w:val="00732511"/>
    <w:rsid w:val="007B41C9"/>
    <w:rsid w:val="007B5125"/>
    <w:rsid w:val="008A46DB"/>
    <w:rsid w:val="009D6555"/>
    <w:rsid w:val="00A610F9"/>
    <w:rsid w:val="00AD5B20"/>
    <w:rsid w:val="00B208F3"/>
    <w:rsid w:val="00C10C63"/>
    <w:rsid w:val="00C85115"/>
    <w:rsid w:val="00CB2FE8"/>
    <w:rsid w:val="00CF3132"/>
    <w:rsid w:val="00D35FE3"/>
    <w:rsid w:val="00D44A8A"/>
    <w:rsid w:val="00DB4F65"/>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2024-03-20T06:30:00Z</dcterms:modified>
</cp:coreProperties>
</file>