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273F1B80" w14:textId="4322F962" w:rsidR="009734F5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6241B477" w14:textId="0E09CF1C" w:rsidR="00427661" w:rsidRPr="00427661" w:rsidRDefault="00427661" w:rsidP="00427661">
      <w:pPr>
        <w:rPr>
          <w:b/>
          <w:u w:val="single"/>
        </w:rPr>
      </w:pPr>
      <w:r w:rsidRPr="00427661">
        <w:rPr>
          <w:b/>
          <w:u w:val="single"/>
        </w:rPr>
        <w:t>CV – Servitude « urbanisation – coulée verte »</w:t>
      </w:r>
    </w:p>
    <w:p w14:paraId="0DB53670" w14:textId="46759400" w:rsidR="00427661" w:rsidRDefault="00427661" w:rsidP="00427661">
      <w:pPr>
        <w:ind w:left="720"/>
      </w:pPr>
      <w:r>
        <w:t>La zone de servitude « urbanisation – coulée verte » vise à structurer l’espace bâti et à favoriser le maillage écologique local. Elle est destinée à l’aménagement d’espaces verts et de jardins privatifs, constitués de plantations indigènes, respectivement pour une utilisation agricole. Un aménagement paysager composé majoritairement par des espèces indigènes adaptées aux conditions stationnelles est à prévoir.</w:t>
      </w:r>
    </w:p>
    <w:p w14:paraId="386250A1" w14:textId="7BF62E2A" w:rsidR="00542283" w:rsidRPr="007D461A" w:rsidRDefault="00427661" w:rsidP="00427661">
      <w:pPr>
        <w:ind w:left="720"/>
      </w:pPr>
      <w:r>
        <w:t>Toute construction y est prohibée hormis les infrastructures de viabilisation aménagées selon les principes d’un aménagement écologique – tels que les chemins pour la mobilité douce, les aires de jeux et les rétentions d’eau – et les infrastructures techniques.</w:t>
      </w:r>
    </w:p>
    <w:sectPr w:rsidR="005422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7661"/>
    <w:rsid w:val="0054228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734F5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2024-01-08T07:16:00Z</dcterms:modified>
</cp:coreProperties>
</file>