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4BD70" w14:textId="77777777" w:rsidR="00D86F9C" w:rsidRDefault="00D86F9C" w:rsidP="00C406C1">
      <w:pPr>
        <w:pStyle w:val="Heading1"/>
      </w:pPr>
      <w:r>
        <w:t>Art. 6 PAP QE – Zone d’activités économiques communales type 1 [ECO-c1]</w:t>
      </w:r>
    </w:p>
    <w:p w14:paraId="1A2464DB" w14:textId="14F95C5A" w:rsidR="00D86F9C" w:rsidRDefault="00C406C1" w:rsidP="00C406C1">
      <w:pPr>
        <w:pStyle w:val="Heading2"/>
      </w:pPr>
      <w:r>
        <w:t xml:space="preserve">Art. </w:t>
      </w:r>
      <w:r w:rsidR="00D86F9C">
        <w:t>6.1 Affectation</w:t>
      </w:r>
    </w:p>
    <w:p w14:paraId="7C2BFA12" w14:textId="40737DFF" w:rsidR="008F2781" w:rsidRDefault="00D86F9C" w:rsidP="00D86F9C">
      <w:r>
        <w:t>La zone d’activités économiques communale type 1 est réservée aux activités industrielles légères, artisanales, de commerce de gros, de transport ou de logistique, ainsi qu’aux équipements collectifs techniques.</w:t>
      </w:r>
    </w:p>
    <w:p w14:paraId="3DC753EA" w14:textId="5A6AEA5C" w:rsidR="00D86F9C" w:rsidRDefault="00D86F9C" w:rsidP="00D86F9C">
      <w:r>
        <w:t>Y sont également admises les activités de prestations de services commerciaux et artisanaux dont la surface construite brute ne dépasse pas 2.000,00 m</w:t>
      </w:r>
      <w:r w:rsidR="00E516C8" w:rsidRPr="00E516C8">
        <w:rPr>
          <w:vertAlign w:val="superscript"/>
        </w:rPr>
        <w:t>2</w:t>
      </w:r>
      <w:r>
        <w:t xml:space="preserve"> par immeuble bâti, ainsi que les concessions automobiles.</w:t>
      </w:r>
    </w:p>
    <w:p w14:paraId="22EB11C6" w14:textId="6DA0AADE" w:rsidR="00D86F9C" w:rsidRDefault="00D86F9C" w:rsidP="00D86F9C">
      <w:r>
        <w:t>Complémentairement à l’activité principale, y sont admis les activités de commerce de détail, limitées à 2.000,00 m</w:t>
      </w:r>
      <w:r w:rsidR="00E516C8" w:rsidRPr="00E516C8">
        <w:rPr>
          <w:vertAlign w:val="superscript"/>
        </w:rPr>
        <w:t>2</w:t>
      </w:r>
      <w:r>
        <w:t xml:space="preserve"> de surface de vente par immeuble bâti, ainsi que les établissements de restauration en relation directe avec les besoins de la zone concernée et le stockage de marchandises ou de matériaux.</w:t>
      </w:r>
    </w:p>
    <w:p w14:paraId="2F15AF19" w14:textId="77777777" w:rsidR="00D86F9C" w:rsidRDefault="00D86F9C" w:rsidP="00D86F9C">
      <w:r>
        <w:t xml:space="preserve">Par parcelle, y est également admis un logement de service à l’usage du personnel dont la présence permanente est nécessaire pour assurer la direction ou la surveillance d’une </w:t>
      </w:r>
      <w:proofErr w:type="gramStart"/>
      <w:r>
        <w:t>entreprise</w:t>
      </w:r>
      <w:proofErr w:type="gramEnd"/>
      <w:r>
        <w:t xml:space="preserve"> particulière.</w:t>
      </w:r>
    </w:p>
    <w:p w14:paraId="6DEB2793" w14:textId="77777777" w:rsidR="00D86F9C" w:rsidRDefault="00D86F9C" w:rsidP="00D86F9C">
      <w:r>
        <w:t>Les crèches, structures d’accueil pour enfants et établissements similaires sont interdites.</w:t>
      </w:r>
    </w:p>
    <w:p w14:paraId="715A15E8" w14:textId="77777777" w:rsidR="00D86F9C" w:rsidRDefault="00D86F9C" w:rsidP="00D86F9C">
      <w:r>
        <w:t>L’implantation de stations-services sont interdites à l’exception des infrastructures de distribution de carburant servant exclusivement aux besoins d’une ou plusieurs entreprises sur place et des stations-services à bornes électriques.</w:t>
      </w:r>
    </w:p>
    <w:p w14:paraId="28074784" w14:textId="49E3A04B" w:rsidR="00D86F9C" w:rsidRDefault="00E516C8" w:rsidP="00E516C8">
      <w:pPr>
        <w:pStyle w:val="Heading2"/>
      </w:pPr>
      <w:r>
        <w:t xml:space="preserve">Art. </w:t>
      </w:r>
      <w:r w:rsidR="00D86F9C">
        <w:t xml:space="preserve">6.2 </w:t>
      </w:r>
      <w:r w:rsidR="004151F2">
        <w:t>Emprise au sol maximale</w:t>
      </w:r>
    </w:p>
    <w:p w14:paraId="760AA48F" w14:textId="16085C64" w:rsidR="004151F2" w:rsidRPr="004151F2" w:rsidRDefault="004151F2" w:rsidP="004151F2">
      <w:r w:rsidRPr="004151F2">
        <w:t>Le coefficient d’occupation du sol (COS) maximal est de 0,70.</w:t>
      </w:r>
    </w:p>
    <w:p w14:paraId="21D82FCF" w14:textId="12E465FB" w:rsidR="00D86F9C" w:rsidRDefault="00E516C8" w:rsidP="00E516C8">
      <w:pPr>
        <w:pStyle w:val="Heading2"/>
      </w:pPr>
      <w:r>
        <w:t xml:space="preserve">Art. </w:t>
      </w:r>
      <w:r w:rsidR="00D86F9C">
        <w:t>6.3 Marges de reculement</w:t>
      </w:r>
    </w:p>
    <w:p w14:paraId="7E1ED3E1" w14:textId="77777777" w:rsidR="004151F2" w:rsidRDefault="004151F2" w:rsidP="004151F2">
      <w:pPr>
        <w:pStyle w:val="ListParagraph"/>
        <w:numPr>
          <w:ilvl w:val="0"/>
          <w:numId w:val="15"/>
        </w:numPr>
      </w:pPr>
      <w:r>
        <w:t xml:space="preserve">Les marges de reculement des constructions sont d’au </w:t>
      </w:r>
      <w:proofErr w:type="gramStart"/>
      <w:r>
        <w:t>moins:</w:t>
      </w:r>
      <w:proofErr w:type="gramEnd"/>
    </w:p>
    <w:p w14:paraId="0816A453" w14:textId="77777777" w:rsidR="004151F2" w:rsidRDefault="004151F2" w:rsidP="004151F2">
      <w:pPr>
        <w:pStyle w:val="ListParagraph"/>
        <w:numPr>
          <w:ilvl w:val="0"/>
          <w:numId w:val="16"/>
        </w:numPr>
      </w:pPr>
      <w:proofErr w:type="gramStart"/>
      <w:r>
        <w:t>recul</w:t>
      </w:r>
      <w:proofErr w:type="gramEnd"/>
      <w:r>
        <w:t xml:space="preserve"> avant: 6,00 mètres,</w:t>
      </w:r>
    </w:p>
    <w:p w14:paraId="02E0EE12" w14:textId="77777777" w:rsidR="004151F2" w:rsidRDefault="004151F2" w:rsidP="004151F2">
      <w:pPr>
        <w:pStyle w:val="ListParagraph"/>
        <w:numPr>
          <w:ilvl w:val="0"/>
          <w:numId w:val="16"/>
        </w:numPr>
      </w:pPr>
      <w:proofErr w:type="gramStart"/>
      <w:r>
        <w:t>recul</w:t>
      </w:r>
      <w:proofErr w:type="gramEnd"/>
      <w:r>
        <w:t xml:space="preserve"> latéral: 0,00 ou 6,00 mètres,</w:t>
      </w:r>
    </w:p>
    <w:p w14:paraId="101E770F" w14:textId="0A19D9EC" w:rsidR="004151F2" w:rsidRDefault="004151F2" w:rsidP="004151F2">
      <w:pPr>
        <w:pStyle w:val="ListParagraph"/>
        <w:numPr>
          <w:ilvl w:val="0"/>
          <w:numId w:val="16"/>
        </w:numPr>
      </w:pPr>
      <w:proofErr w:type="gramStart"/>
      <w:r>
        <w:t>recul</w:t>
      </w:r>
      <w:proofErr w:type="gramEnd"/>
      <w:r>
        <w:t xml:space="preserve"> arrière: 6,00 mètres.</w:t>
      </w:r>
    </w:p>
    <w:p w14:paraId="414D7734" w14:textId="44AC283A" w:rsidR="004151F2" w:rsidRPr="004151F2" w:rsidRDefault="004151F2" w:rsidP="004151F2">
      <w:pPr>
        <w:pStyle w:val="ListParagraph"/>
        <w:numPr>
          <w:ilvl w:val="0"/>
          <w:numId w:val="15"/>
        </w:numPr>
      </w:pPr>
      <w:r>
        <w:t>Dans le cas où la parcelle voisine est libre de toute construction principale ou si une construction existante ou projetée sur un terrain attenant n’accuse aucun recul, la nouvelle construction peut présenter un recul nul.</w:t>
      </w:r>
    </w:p>
    <w:p w14:paraId="4C9D3F17" w14:textId="30218155" w:rsidR="00D86F9C" w:rsidRDefault="00E516C8" w:rsidP="00E516C8">
      <w:pPr>
        <w:pStyle w:val="Heading3"/>
      </w:pPr>
      <w:r>
        <w:t xml:space="preserve">Art. </w:t>
      </w:r>
      <w:r w:rsidR="00D86F9C">
        <w:t>6.3.1 Dérogations</w:t>
      </w:r>
    </w:p>
    <w:p w14:paraId="1769CC1B" w14:textId="6D99D72C" w:rsidR="004151F2" w:rsidRDefault="004151F2" w:rsidP="004151F2">
      <w:pPr>
        <w:pStyle w:val="ListParagraph"/>
        <w:numPr>
          <w:ilvl w:val="0"/>
          <w:numId w:val="17"/>
        </w:numPr>
      </w:pPr>
      <w:r>
        <w:t>Exceptionnellement, dans le cas d'une reconstruction ou de l’extension d'une construction, les reculs existants peuvent être maintenus pour la partie reconstruite et être appliqués à l’extension du bâtiment.</w:t>
      </w:r>
    </w:p>
    <w:p w14:paraId="03CEE1B5" w14:textId="0286436C" w:rsidR="004151F2" w:rsidRPr="004151F2" w:rsidRDefault="004151F2" w:rsidP="004151F2">
      <w:pPr>
        <w:pStyle w:val="ListParagraph"/>
        <w:numPr>
          <w:ilvl w:val="0"/>
          <w:numId w:val="17"/>
        </w:numPr>
      </w:pPr>
      <w:r>
        <w:lastRenderedPageBreak/>
        <w:t>Une dérogation peut être accordée dans les cas où une augmentation ou une diminution du recul s’impose pour des raisons urbanistiques, topographiques, de raccordement aux constructions existantes ou de sécurité de la circulation ainsi que pour les équipements techniques réalisés par les gestionnaires de réseaux.</w:t>
      </w:r>
    </w:p>
    <w:p w14:paraId="2C5B7F48" w14:textId="3ED09D4D" w:rsidR="00D86F9C" w:rsidRDefault="00E516C8" w:rsidP="00E516C8">
      <w:pPr>
        <w:pStyle w:val="Heading2"/>
      </w:pPr>
      <w:r>
        <w:t xml:space="preserve">Art. </w:t>
      </w:r>
      <w:r w:rsidR="00D86F9C">
        <w:t>6.4 Gabarit</w:t>
      </w:r>
    </w:p>
    <w:p w14:paraId="4D2EA4FA" w14:textId="7720A5D5" w:rsidR="00D86F9C" w:rsidRDefault="00D86F9C" w:rsidP="00E516C8">
      <w:pPr>
        <w:pStyle w:val="ListParagraph"/>
        <w:numPr>
          <w:ilvl w:val="0"/>
          <w:numId w:val="12"/>
        </w:numPr>
      </w:pPr>
      <w:r>
        <w:t>La profondeur maximale des constructions est définie par la surface résultante des marges de reculement sur les limites de propriété et du COS maximal.</w:t>
      </w:r>
    </w:p>
    <w:p w14:paraId="729F74FF" w14:textId="0E9E8155" w:rsidR="004151F2" w:rsidRDefault="004151F2" w:rsidP="004151F2">
      <w:pPr>
        <w:pStyle w:val="ListParagraph"/>
        <w:numPr>
          <w:ilvl w:val="0"/>
          <w:numId w:val="12"/>
        </w:numPr>
      </w:pPr>
      <w:r>
        <w:t>La hauteur totale maximale des constructions est de 12,00 mètres.</w:t>
      </w:r>
    </w:p>
    <w:p w14:paraId="2CEC0C78" w14:textId="6A58616E" w:rsidR="004151F2" w:rsidRDefault="004151F2" w:rsidP="004151F2">
      <w:pPr>
        <w:ind w:left="720"/>
      </w:pPr>
      <w:r>
        <w:t>Sur un tiers de l’emprise au sol de la construction, la hauteur maximale est ramenée à 15,00 mètres.</w:t>
      </w:r>
    </w:p>
    <w:p w14:paraId="70D02B98" w14:textId="77777777" w:rsidR="004151F2" w:rsidRDefault="004151F2" w:rsidP="004151F2">
      <w:pPr>
        <w:ind w:left="720"/>
      </w:pPr>
      <w:r>
        <w:t>Aucun dépassement n’est admis au-delà de ces hauteurs maximales.</w:t>
      </w:r>
    </w:p>
    <w:p w14:paraId="7D25594E" w14:textId="49EB3D6A" w:rsidR="004151F2" w:rsidRDefault="004151F2" w:rsidP="004151F2">
      <w:pPr>
        <w:pStyle w:val="ListParagraph"/>
        <w:numPr>
          <w:ilvl w:val="0"/>
          <w:numId w:val="12"/>
        </w:numPr>
      </w:pPr>
      <w:r>
        <w:t xml:space="preserve">Les hauteurs sont </w:t>
      </w:r>
      <w:proofErr w:type="gramStart"/>
      <w:r>
        <w:t>mesurés</w:t>
      </w:r>
      <w:proofErr w:type="gramEnd"/>
      <w:r>
        <w:t xml:space="preserve"> suivant les indications de l’Art. 39 a).</w:t>
      </w:r>
    </w:p>
    <w:p w14:paraId="1CE0058A" w14:textId="77777777" w:rsidR="004151F2" w:rsidRDefault="004151F2" w:rsidP="004151F2">
      <w:pPr>
        <w:ind w:left="720"/>
      </w:pPr>
      <w:r>
        <w:t>Pour les terrains en pente, une dérogation peut être accordée afin de mesurer la hauteur d’une construction au milieu de la façade principale donnant sur le domaine public par rapport au niveau du terrain existant.</w:t>
      </w:r>
    </w:p>
    <w:p w14:paraId="594150E1" w14:textId="6B5260ED" w:rsidR="004151F2" w:rsidRDefault="004151F2" w:rsidP="004151F2">
      <w:pPr>
        <w:pStyle w:val="ListParagraph"/>
        <w:numPr>
          <w:ilvl w:val="0"/>
          <w:numId w:val="12"/>
        </w:numPr>
      </w:pPr>
      <w:r>
        <w:t>Les toitures ont une forme libre.</w:t>
      </w:r>
    </w:p>
    <w:p w14:paraId="5E8C638A" w14:textId="1F9A5BE2" w:rsidR="004151F2" w:rsidRDefault="004151F2" w:rsidP="004151F2">
      <w:pPr>
        <w:pStyle w:val="ListParagraph"/>
        <w:numPr>
          <w:ilvl w:val="0"/>
          <w:numId w:val="12"/>
        </w:numPr>
      </w:pPr>
      <w:r>
        <w:t>Les toitures avec une surface supérieure à 20 m</w:t>
      </w:r>
      <w:r w:rsidRPr="004151F2">
        <w:rPr>
          <w:vertAlign w:val="superscript"/>
        </w:rPr>
        <w:t>2</w:t>
      </w:r>
      <w:r>
        <w:t xml:space="preserve"> doivent être végétalisées ou utilisées pour la production d’énergie renouvelable moyennant des panneaux solaires (thermiques et/ou photovoltaïques) sur au moins deux tiers de leur surface totale. Une dérogation peut être accordée pour les toitures dont la végétalisation n’est techniquement pas faisable ou dont la pente ou l’exposition ne s’apprêtent pas pour une utilisation de l’énergie solaire.</w:t>
      </w:r>
    </w:p>
    <w:p w14:paraId="76B0CFB6" w14:textId="012DC29B" w:rsidR="00F81BC4" w:rsidRDefault="00F81BC4" w:rsidP="00F81BC4">
      <w:pPr>
        <w:pStyle w:val="Heading2"/>
      </w:pPr>
      <w:r>
        <w:t>Art. 6.5 Aménagement extérieur</w:t>
      </w:r>
    </w:p>
    <w:p w14:paraId="608CF6A8" w14:textId="781D6CA7" w:rsidR="00F81BC4" w:rsidRPr="007D461A" w:rsidRDefault="00F81BC4" w:rsidP="00F81BC4">
      <w:r>
        <w:t>Au minimum 10% de la superficie d’une parcelle doivent être réservés à l’aménagement d’un espace vert, dont la moitié est destinée à recevoir des plantations d’arbres à haute tige. Les surfaces couvertes par un revêtement de sol minéral, y inclus les jardins rocheux, les dalles de gazon, pavés etc. ainsi que toute surface utilisée pour le stationnement de véhicules ne sont pas considérées en tant qu’espace vert non scellé dans le sens du présent article.</w:t>
      </w:r>
    </w:p>
    <w:sectPr w:rsidR="00F81BC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96A2D"/>
    <w:multiLevelType w:val="hybridMultilevel"/>
    <w:tmpl w:val="27D0AD0A"/>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 w15:restartNumberingAfterBreak="0">
    <w:nsid w:val="0ACA25D5"/>
    <w:multiLevelType w:val="hybridMultilevel"/>
    <w:tmpl w:val="C85C106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B0138"/>
    <w:multiLevelType w:val="hybridMultilevel"/>
    <w:tmpl w:val="D3C6F008"/>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1D336685"/>
    <w:multiLevelType w:val="hybridMultilevel"/>
    <w:tmpl w:val="B56C82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F5E11CD"/>
    <w:multiLevelType w:val="hybridMultilevel"/>
    <w:tmpl w:val="8408CD62"/>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485017"/>
    <w:multiLevelType w:val="hybridMultilevel"/>
    <w:tmpl w:val="1A720F72"/>
    <w:lvl w:ilvl="0" w:tplc="850CB244">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86616C"/>
    <w:multiLevelType w:val="hybridMultilevel"/>
    <w:tmpl w:val="BFBAC59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0" w15:restartNumberingAfterBreak="0">
    <w:nsid w:val="3D9F3CBF"/>
    <w:multiLevelType w:val="hybridMultilevel"/>
    <w:tmpl w:val="F63E4C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C15F2A"/>
    <w:multiLevelType w:val="hybridMultilevel"/>
    <w:tmpl w:val="165E7FD6"/>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F61DB7"/>
    <w:multiLevelType w:val="hybridMultilevel"/>
    <w:tmpl w:val="662E7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3D74B2"/>
    <w:multiLevelType w:val="hybridMultilevel"/>
    <w:tmpl w:val="45FAE35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3043250">
    <w:abstractNumId w:val="12"/>
  </w:num>
  <w:num w:numId="2" w16cid:durableId="1090081598">
    <w:abstractNumId w:val="14"/>
  </w:num>
  <w:num w:numId="3" w16cid:durableId="730005936">
    <w:abstractNumId w:val="16"/>
  </w:num>
  <w:num w:numId="4" w16cid:durableId="574555308">
    <w:abstractNumId w:val="2"/>
  </w:num>
  <w:num w:numId="5" w16cid:durableId="1214267791">
    <w:abstractNumId w:val="3"/>
  </w:num>
  <w:num w:numId="6" w16cid:durableId="1664511191">
    <w:abstractNumId w:val="7"/>
  </w:num>
  <w:num w:numId="7" w16cid:durableId="1139565990">
    <w:abstractNumId w:val="0"/>
  </w:num>
  <w:num w:numId="8" w16cid:durableId="1511219428">
    <w:abstractNumId w:val="6"/>
  </w:num>
  <w:num w:numId="9" w16cid:durableId="1827743595">
    <w:abstractNumId w:val="15"/>
  </w:num>
  <w:num w:numId="10" w16cid:durableId="1183981524">
    <w:abstractNumId w:val="4"/>
  </w:num>
  <w:num w:numId="11" w16cid:durableId="677194496">
    <w:abstractNumId w:val="1"/>
  </w:num>
  <w:num w:numId="12" w16cid:durableId="1134837085">
    <w:abstractNumId w:val="9"/>
  </w:num>
  <w:num w:numId="13" w16cid:durableId="617874752">
    <w:abstractNumId w:val="11"/>
  </w:num>
  <w:num w:numId="14" w16cid:durableId="445544717">
    <w:abstractNumId w:val="13"/>
  </w:num>
  <w:num w:numId="15" w16cid:durableId="363866666">
    <w:abstractNumId w:val="10"/>
  </w:num>
  <w:num w:numId="16" w16cid:durableId="171377734">
    <w:abstractNumId w:val="5"/>
  </w:num>
  <w:num w:numId="17" w16cid:durableId="1344935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E461F"/>
    <w:rsid w:val="00387019"/>
    <w:rsid w:val="0039622D"/>
    <w:rsid w:val="00397462"/>
    <w:rsid w:val="003A681A"/>
    <w:rsid w:val="004151F2"/>
    <w:rsid w:val="005D1D9B"/>
    <w:rsid w:val="006605E2"/>
    <w:rsid w:val="006653E2"/>
    <w:rsid w:val="006B0ABB"/>
    <w:rsid w:val="00732511"/>
    <w:rsid w:val="007B41C9"/>
    <w:rsid w:val="007B5125"/>
    <w:rsid w:val="007D461A"/>
    <w:rsid w:val="008A46DB"/>
    <w:rsid w:val="008F2781"/>
    <w:rsid w:val="009D6555"/>
    <w:rsid w:val="00A610F9"/>
    <w:rsid w:val="00AD5B20"/>
    <w:rsid w:val="00B11E93"/>
    <w:rsid w:val="00B208F3"/>
    <w:rsid w:val="00C10C63"/>
    <w:rsid w:val="00C406C1"/>
    <w:rsid w:val="00C85115"/>
    <w:rsid w:val="00CB2FE8"/>
    <w:rsid w:val="00CF3132"/>
    <w:rsid w:val="00D35FE3"/>
    <w:rsid w:val="00D86F9C"/>
    <w:rsid w:val="00E516C8"/>
    <w:rsid w:val="00EA7952"/>
    <w:rsid w:val="00EB23F4"/>
    <w:rsid w:val="00F163B8"/>
    <w:rsid w:val="00F81BC4"/>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2025-03-17T12:40:00Z</dcterms:modified>
</cp:coreProperties>
</file>