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3FFAF" w14:textId="15140904" w:rsidR="00941C6B" w:rsidRPr="00941C6B" w:rsidRDefault="00017638" w:rsidP="00941C6B">
      <w:pPr>
        <w:pStyle w:val="Heading1"/>
      </w:pPr>
      <w:r>
        <w:t>Art. 16 PAP QE – Zone de jardins familiaux [JAR]</w:t>
      </w:r>
    </w:p>
    <w:p w14:paraId="01CF19F2" w14:textId="5525148F" w:rsidR="00017638" w:rsidRDefault="00017638" w:rsidP="00017638">
      <w:r>
        <w:t>Le quartier existant « zone de jardins familiaux » est destiné à la culture jardinière et à la détente.</w:t>
      </w:r>
    </w:p>
    <w:p w14:paraId="0122FB4F" w14:textId="321B00CA" w:rsidR="00017638" w:rsidRDefault="00017638" w:rsidP="00017638">
      <w:r>
        <w:t>Y sont admises des aménagements ainsi que des dépendances de faible envergure en relation directe avec la destination de la zone.</w:t>
      </w:r>
    </w:p>
    <w:p w14:paraId="360FC77D" w14:textId="75EE8226" w:rsidR="00017638" w:rsidRDefault="00017638" w:rsidP="00017638">
      <w:pPr>
        <w:pStyle w:val="Heading2"/>
      </w:pPr>
      <w:r>
        <w:t>Art. 16.1 Implantation et gabarit</w:t>
      </w:r>
    </w:p>
    <w:p w14:paraId="1664E351" w14:textId="295FDF33" w:rsidR="00017638" w:rsidRDefault="00017638" w:rsidP="00017638">
      <w:r>
        <w:t>Le quartier existant « zone de jardins familiaux » est destiné à la culture jardinière et à la détente.</w:t>
      </w:r>
    </w:p>
    <w:p w14:paraId="655177B0" w14:textId="0D54DBE8" w:rsidR="00C829CD" w:rsidRDefault="00017638" w:rsidP="003558B5">
      <w:r>
        <w:t>Y sont admises des aménagements ainsi que des dépendances de faible envergure en relation directe avec la destination de la zone, sous réserve du respect de l’Art. 30, l’Art. 32 et l’Art. 33.</w:t>
      </w:r>
    </w:p>
    <w:p w14:paraId="68536A2C" w14:textId="77777777" w:rsidR="003558B5" w:rsidRDefault="003558B5" w:rsidP="003558B5">
      <w:pPr>
        <w:pStyle w:val="Title"/>
        <w:ind w:left="0"/>
      </w:pPr>
      <w:r>
        <w:lastRenderedPageBreak/>
        <w:t>R</w:t>
      </w:r>
      <w:r w:rsidRPr="00605965">
        <w:t>ègles applicables à certains PAP QE</w:t>
      </w:r>
    </w:p>
    <w:p w14:paraId="631D019C" w14:textId="77777777" w:rsidR="003558B5" w:rsidRDefault="003558B5" w:rsidP="003558B5">
      <w:r>
        <w:t xml:space="preserve">Les prescriptions du présent chapitre sont applicables aux PAP « quartier existant » </w:t>
      </w:r>
      <w:proofErr w:type="gramStart"/>
      <w:r>
        <w:t>suivants:</w:t>
      </w:r>
      <w:proofErr w:type="gramEnd"/>
    </w:p>
    <w:p w14:paraId="6AD39F87" w14:textId="77777777" w:rsidR="003558B5" w:rsidRDefault="003558B5" w:rsidP="003558B5">
      <w:pPr>
        <w:pStyle w:val="ListParagraph"/>
        <w:numPr>
          <w:ilvl w:val="0"/>
          <w:numId w:val="7"/>
        </w:numPr>
      </w:pPr>
      <w:r>
        <w:t>PAP QE – Zone d’habitation [HAB-1],</w:t>
      </w:r>
    </w:p>
    <w:p w14:paraId="539BE06C" w14:textId="77777777" w:rsidR="003558B5" w:rsidRDefault="003558B5" w:rsidP="003558B5">
      <w:pPr>
        <w:pStyle w:val="ListParagraph"/>
        <w:numPr>
          <w:ilvl w:val="0"/>
          <w:numId w:val="7"/>
        </w:numPr>
      </w:pPr>
      <w:r>
        <w:t>PAP QE – Zone mixte villageoise [MIX-v],</w:t>
      </w:r>
    </w:p>
    <w:p w14:paraId="1DFD7C1C" w14:textId="77777777" w:rsidR="003558B5" w:rsidRDefault="003558B5" w:rsidP="003558B5">
      <w:pPr>
        <w:pStyle w:val="ListParagraph"/>
        <w:numPr>
          <w:ilvl w:val="0"/>
          <w:numId w:val="7"/>
        </w:numPr>
      </w:pPr>
      <w:r>
        <w:t>PAP QE – Zone mixte rurale [MIX-r],</w:t>
      </w:r>
    </w:p>
    <w:p w14:paraId="208EEEBA" w14:textId="77777777" w:rsidR="003558B5" w:rsidRDefault="003558B5" w:rsidP="003558B5">
      <w:pPr>
        <w:pStyle w:val="ListParagraph"/>
        <w:numPr>
          <w:ilvl w:val="0"/>
          <w:numId w:val="7"/>
        </w:numPr>
      </w:pPr>
      <w:r>
        <w:t>PAP QE – Zone de jardins familiaux [JAR].</w:t>
      </w:r>
    </w:p>
    <w:p w14:paraId="26692406" w14:textId="77777777" w:rsidR="003558B5" w:rsidRDefault="003558B5" w:rsidP="003558B5">
      <w:pPr>
        <w:pStyle w:val="Heading1"/>
      </w:pPr>
      <w:r>
        <w:t>Art. 23 Crèches et structures d’accueil pour enfants</w:t>
      </w:r>
    </w:p>
    <w:p w14:paraId="2A97B47A" w14:textId="77777777" w:rsidR="003558B5" w:rsidRDefault="003558B5" w:rsidP="003558B5">
      <w:r>
        <w:t>Les crèches, structures d’accueil pour enfants et établissements similaires sont admis dans les PAP QE de la zone d’habitation 1 [HAB-1] et de la zone mixte villageoise [MIX-v], conformément aux dispositions des PAP QE respectifs. La capacité d’accueil est limitée à 80 enfants.</w:t>
      </w:r>
    </w:p>
    <w:p w14:paraId="18F36BF0" w14:textId="77777777" w:rsidR="003558B5" w:rsidRDefault="003558B5" w:rsidP="003558B5">
      <w:r>
        <w:t>Les crèches, structures d’accueil pour enfants et établissements similaires sont admis sous condition que les fonds concernés disposent d’un accès direct à une route nationale ou un chemin repris.</w:t>
      </w:r>
    </w:p>
    <w:p w14:paraId="4D8091D4" w14:textId="77777777" w:rsidR="003558B5" w:rsidRDefault="003558B5" w:rsidP="003558B5">
      <w:r>
        <w:t>L’espace libre privatif des crèches doit être situé sur les fonds propres et être directement accessible depuis la crèche.</w:t>
      </w:r>
    </w:p>
    <w:p w14:paraId="58676255" w14:textId="77777777" w:rsidR="003558B5" w:rsidRDefault="003558B5" w:rsidP="003558B5">
      <w:pPr>
        <w:pStyle w:val="Heading1"/>
      </w:pPr>
      <w:r>
        <w:t>Art. 24 Construction principale en deuxième position</w:t>
      </w:r>
    </w:p>
    <w:p w14:paraId="11343B70" w14:textId="77777777" w:rsidR="003558B5" w:rsidRDefault="003558B5" w:rsidP="003558B5">
      <w:r>
        <w:t>Une construction principale en deuxième position, sur la même parcelle et desservie par la même voie desservante que la construction en première position, est interdite.</w:t>
      </w:r>
    </w:p>
    <w:p w14:paraId="1BD8E206" w14:textId="77777777" w:rsidR="003558B5" w:rsidRDefault="003558B5" w:rsidP="003558B5">
      <w:pPr>
        <w:jc w:val="center"/>
      </w:pPr>
      <w:r>
        <w:rPr>
          <w:noProof/>
        </w:rPr>
        <w:drawing>
          <wp:inline distT="0" distB="0" distL="0" distR="0" wp14:anchorId="3A449604" wp14:editId="743BFCE7">
            <wp:extent cx="4029075" cy="3057525"/>
            <wp:effectExtent l="0" t="0" r="9525" b="9525"/>
            <wp:docPr id="1416311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31189" name=""/>
                    <pic:cNvPicPr/>
                  </pic:nvPicPr>
                  <pic:blipFill>
                    <a:blip r:embed="rId5"/>
                    <a:stretch>
                      <a:fillRect/>
                    </a:stretch>
                  </pic:blipFill>
                  <pic:spPr>
                    <a:xfrm>
                      <a:off x="0" y="0"/>
                      <a:ext cx="4029075" cy="3057525"/>
                    </a:xfrm>
                    <a:prstGeom prst="rect">
                      <a:avLst/>
                    </a:prstGeom>
                  </pic:spPr>
                </pic:pic>
              </a:graphicData>
            </a:graphic>
          </wp:inline>
        </w:drawing>
      </w:r>
    </w:p>
    <w:p w14:paraId="6A63CBB5" w14:textId="77777777" w:rsidR="003558B5" w:rsidRDefault="003558B5" w:rsidP="003558B5"/>
    <w:p w14:paraId="118ABC31" w14:textId="77777777" w:rsidR="003558B5" w:rsidRDefault="003558B5" w:rsidP="003558B5">
      <w:pPr>
        <w:pStyle w:val="Heading1"/>
      </w:pPr>
      <w:r>
        <w:lastRenderedPageBreak/>
        <w:t>Art. 25 Rez-de-chaussée</w:t>
      </w:r>
    </w:p>
    <w:p w14:paraId="12626AB0" w14:textId="77777777" w:rsidR="003558B5" w:rsidRDefault="003558B5" w:rsidP="003558B5">
      <w:pPr>
        <w:pStyle w:val="ListParagraph"/>
        <w:numPr>
          <w:ilvl w:val="0"/>
          <w:numId w:val="23"/>
        </w:numPr>
      </w:pPr>
      <w:r>
        <w:t>Le niveau du rez-de-chaussée correspond au niveau de l'axe de la voie publique existante.</w:t>
      </w:r>
    </w:p>
    <w:p w14:paraId="64A38EF8" w14:textId="77777777" w:rsidR="003558B5" w:rsidRDefault="003558B5" w:rsidP="003558B5">
      <w:pPr>
        <w:pStyle w:val="ListParagraph"/>
        <w:numPr>
          <w:ilvl w:val="0"/>
          <w:numId w:val="23"/>
        </w:numPr>
      </w:pPr>
      <w:r>
        <w:t>Pour les constructions situées sur un terrain plat ou avec une pente moyenne inférieure à 10%, le niveau du rez-de-chaussée peut être inférieur à cette cote de 0,50 mètre au maximum ou supérieur à cette cote de 1,50 mètre au maximum. Pour les constructions accolées, le niveau du rez-de-chaussée peut être inférieur ou supérieur à cette cote de 0,50 mètre au maximum.</w:t>
      </w:r>
    </w:p>
    <w:p w14:paraId="71B0A04D" w14:textId="77777777" w:rsidR="003558B5" w:rsidRDefault="003558B5" w:rsidP="003558B5">
      <w:pPr>
        <w:ind w:left="720"/>
      </w:pPr>
      <w:r>
        <w:t>La cote est mesurée au milieu de la façade sise sur l'alignement.</w:t>
      </w:r>
    </w:p>
    <w:p w14:paraId="20028C81" w14:textId="77777777" w:rsidR="003558B5" w:rsidRDefault="003558B5" w:rsidP="003558B5">
      <w:pPr>
        <w:pStyle w:val="ListParagraph"/>
        <w:numPr>
          <w:ilvl w:val="0"/>
          <w:numId w:val="23"/>
        </w:numPr>
      </w:pPr>
      <w:r>
        <w:t>Pour les constructions situées sur un terrain avec une pente moyenne égale ou supérieure à 10%, le niveau du rez-de-chaussée est à mesurer par rapport au niveau du terrain naturel et sur la base d'un levé topographique de la situation existante.</w:t>
      </w:r>
    </w:p>
    <w:p w14:paraId="1CD5054F" w14:textId="77777777" w:rsidR="003558B5" w:rsidRDefault="003558B5" w:rsidP="003558B5">
      <w:pPr>
        <w:pStyle w:val="Heading1"/>
      </w:pPr>
      <w:r>
        <w:t>Art. 26 Pergola, terrasse couverte et construction similaire</w:t>
      </w:r>
    </w:p>
    <w:p w14:paraId="33397660" w14:textId="77777777" w:rsidR="003558B5" w:rsidRDefault="003558B5" w:rsidP="003558B5">
      <w:r>
        <w:t>En dehors du gabarit admis pour la construction principale, une construction de type « pergola » ou la couverture d’une terrasse est admise, sous condition de respecter un recul arrière minimal de 6,00 mètres et les reculs latéraux réglementaires.</w:t>
      </w:r>
    </w:p>
    <w:p w14:paraId="3E7F1013" w14:textId="77777777" w:rsidR="003558B5" w:rsidRDefault="003558B5" w:rsidP="003558B5">
      <w:r>
        <w:t>Une telle construction doit être accolée à la façade du bâtiment principal, reposer sur 4 piliers fixés au sol, s’aligner à la hauteur du linteau supérieur de la porte fenêtre, être ouverte sur tous les côtés et avoir une profondeur maximale de 4,00 mètres. L’utilisation de maçonnerie, de béton ou autres matières synthétiques est interdite.</w:t>
      </w:r>
    </w:p>
    <w:p w14:paraId="2B988285" w14:textId="77777777" w:rsidR="003558B5" w:rsidRDefault="003558B5" w:rsidP="003558B5">
      <w:pPr>
        <w:pStyle w:val="Heading1"/>
      </w:pPr>
      <w:r>
        <w:t>Art. 27 Ouvertures dans la toiture</w:t>
      </w:r>
    </w:p>
    <w:p w14:paraId="14D3E516" w14:textId="77777777" w:rsidR="003558B5" w:rsidRDefault="003558B5" w:rsidP="003558B5">
      <w:r>
        <w:t>Les ouvertures, lucarnes, loggias, fenêtres rampantes (type « Velux ») ou ouvertures similaires dans la toiture en vue d’une meilleure exploitation fonctionnelle des combles sont admises.</w:t>
      </w:r>
    </w:p>
    <w:p w14:paraId="20083C62" w14:textId="77777777" w:rsidR="003558B5" w:rsidRDefault="003558B5" w:rsidP="003558B5">
      <w:r>
        <w:t>Elles sont implantées avec un recul minimal de 1,00 mètre des côtés latéraux, des arêtes et des noues de la toiture. Cette distance peut être réduite pour les maisons en bande.</w:t>
      </w:r>
    </w:p>
    <w:p w14:paraId="770148B3" w14:textId="77777777" w:rsidR="003558B5" w:rsidRDefault="003558B5" w:rsidP="003558B5">
      <w:r>
        <w:t>La somme des largeurs des ouvertures ne peut pas dépasser deux tiers de la longueur de la façade, avec une largeur maximale de 2,50 mètres par ouverture, et la corniche peut être interrompue sur la moitié de la longueur de la façade au maximum.</w:t>
      </w:r>
    </w:p>
    <w:p w14:paraId="074EF7B6" w14:textId="77777777" w:rsidR="003558B5" w:rsidRDefault="003558B5" w:rsidP="003558B5">
      <w:pPr>
        <w:pStyle w:val="Heading2"/>
      </w:pPr>
      <w:r>
        <w:t>Art. 27.1 Secteur protégé de type « environnement construit – C »</w:t>
      </w:r>
    </w:p>
    <w:p w14:paraId="7B81BE2E" w14:textId="77777777" w:rsidR="003558B5" w:rsidRDefault="003558B5" w:rsidP="003558B5">
      <w:r>
        <w:t xml:space="preserve">Pour le secteur protégé de type « environnement construit – C », les prescriptions sont précisées de la manière </w:t>
      </w:r>
      <w:proofErr w:type="gramStart"/>
      <w:r>
        <w:t>suivante:</w:t>
      </w:r>
      <w:proofErr w:type="gramEnd"/>
    </w:p>
    <w:p w14:paraId="3B69EC56" w14:textId="77777777" w:rsidR="003558B5" w:rsidRDefault="003558B5" w:rsidP="003558B5">
      <w:r>
        <w:t>Y sont admises les lucarnes, loggias, fenêtres rampantes (type « Velux ») ou ouvertures similaires. Les loggias sont interdites.</w:t>
      </w:r>
    </w:p>
    <w:p w14:paraId="699C825F" w14:textId="77777777" w:rsidR="003558B5" w:rsidRDefault="003558B5" w:rsidP="003558B5">
      <w:r>
        <w:lastRenderedPageBreak/>
        <w:t>Ces ouvertures sont à dominante verticale et sont implantées avec un recul minimal de 1,50 mètre des côtés latéraux, des arêtes et des noues de la toiture. Cette distance peut être réduite à 1,00 mètre pour les maisons en bande.</w:t>
      </w:r>
    </w:p>
    <w:p w14:paraId="34425C44" w14:textId="77777777" w:rsidR="003558B5" w:rsidRDefault="003558B5" w:rsidP="003558B5">
      <w:r>
        <w:t>La largeur d’une ouverture ne dépasse pas 2,00 mètres. La somme des largeurs des ouvertures ne dépasse pas la moitié de la longueur de la façade et doit être inférieure à la somme de la largeur des ouvertures de fenêtres situées dans la façade concernée.</w:t>
      </w:r>
    </w:p>
    <w:p w14:paraId="70DA69CD" w14:textId="77777777" w:rsidR="003558B5" w:rsidRDefault="003558B5" w:rsidP="003558B5">
      <w:r>
        <w:t>La corniche ne peut pas être interrompue.</w:t>
      </w:r>
    </w:p>
    <w:p w14:paraId="0619DA28" w14:textId="77777777" w:rsidR="003558B5" w:rsidRDefault="003558B5" w:rsidP="003558B5">
      <w:r>
        <w:t xml:space="preserve">Les lucarnes doivent observer un recul d’au moins 0,50 mètre par rapport au </w:t>
      </w:r>
      <w:proofErr w:type="gramStart"/>
      <w:r>
        <w:t>plan</w:t>
      </w:r>
      <w:proofErr w:type="gramEnd"/>
      <w:r>
        <w:t xml:space="preserve"> de la façade et ne contiennent aucun élément de façade.</w:t>
      </w:r>
    </w:p>
    <w:p w14:paraId="28D2ED99" w14:textId="77777777" w:rsidR="003558B5" w:rsidRDefault="003558B5" w:rsidP="003558B5">
      <w:r w:rsidRPr="00F92468">
        <w:t xml:space="preserve">L’implantation des ouvertures est illustrée dans le dessin ci-après, à l’intérieur de la ligne </w:t>
      </w:r>
      <w:proofErr w:type="gramStart"/>
      <w:r w:rsidRPr="00F92468">
        <w:t>pointillée:</w:t>
      </w:r>
      <w:proofErr w:type="gramEnd"/>
    </w:p>
    <w:p w14:paraId="3EF1E1D8" w14:textId="77777777" w:rsidR="003558B5" w:rsidRDefault="003558B5" w:rsidP="003558B5">
      <w:pPr>
        <w:jc w:val="center"/>
      </w:pPr>
      <w:r w:rsidRPr="00F92468">
        <w:drawing>
          <wp:inline distT="0" distB="0" distL="0" distR="0" wp14:anchorId="3C6227DF" wp14:editId="1CA07CE4">
            <wp:extent cx="5731510" cy="1896110"/>
            <wp:effectExtent l="0" t="0" r="2540" b="8890"/>
            <wp:docPr id="20426782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678254" name=""/>
                    <pic:cNvPicPr/>
                  </pic:nvPicPr>
                  <pic:blipFill>
                    <a:blip r:embed="rId6"/>
                    <a:stretch>
                      <a:fillRect/>
                    </a:stretch>
                  </pic:blipFill>
                  <pic:spPr>
                    <a:xfrm>
                      <a:off x="0" y="0"/>
                      <a:ext cx="5731510" cy="1896110"/>
                    </a:xfrm>
                    <a:prstGeom prst="rect">
                      <a:avLst/>
                    </a:prstGeom>
                  </pic:spPr>
                </pic:pic>
              </a:graphicData>
            </a:graphic>
          </wp:inline>
        </w:drawing>
      </w:r>
    </w:p>
    <w:p w14:paraId="6071FE73" w14:textId="77777777" w:rsidR="003558B5" w:rsidRDefault="003558B5" w:rsidP="003558B5"/>
    <w:p w14:paraId="103B5999" w14:textId="77777777" w:rsidR="003558B5" w:rsidRDefault="003558B5" w:rsidP="003558B5">
      <w:pPr>
        <w:pStyle w:val="Heading1"/>
      </w:pPr>
      <w:r>
        <w:t>Art. 28 L’étage en retrait</w:t>
      </w:r>
    </w:p>
    <w:p w14:paraId="4FE8F190" w14:textId="77777777" w:rsidR="003558B5" w:rsidRDefault="003558B5" w:rsidP="003558B5">
      <w:r>
        <w:t xml:space="preserve">Du côté antérieur et postérieur les retraits de l’étage en retrait doivent avoir un recul minimal de 1,50 mètre par rapport au plan de la façade sur au moins </w:t>
      </w:r>
      <w:proofErr w:type="gramStart"/>
      <w:r>
        <w:t>la deux tiers</w:t>
      </w:r>
      <w:proofErr w:type="gramEnd"/>
      <w:r>
        <w:t xml:space="preserve"> de la largeur de la façade respective.</w:t>
      </w:r>
    </w:p>
    <w:p w14:paraId="3687F6E2" w14:textId="77777777" w:rsidR="003558B5" w:rsidRDefault="003558B5" w:rsidP="003558B5">
      <w:r>
        <w:t>L’autre tiers de l’étage en retrait peut être aménagée à l’aplomb de la façade du niveau en dessous.</w:t>
      </w:r>
    </w:p>
    <w:p w14:paraId="19170037" w14:textId="77777777" w:rsidR="003558B5" w:rsidRDefault="003558B5" w:rsidP="003558B5">
      <w:pPr>
        <w:pStyle w:val="Heading1"/>
      </w:pPr>
      <w:r>
        <w:t>Art. 29 Saillies sur les façades</w:t>
      </w:r>
    </w:p>
    <w:p w14:paraId="226FF5BB" w14:textId="77777777" w:rsidR="003558B5" w:rsidRDefault="003558B5" w:rsidP="003558B5">
      <w:r>
        <w:t>Les parties saillantes ou saillies des constructions comprennent les escaliers extérieurs et rampes ainsi que les avant-toits, corniches, balcons, auvents, marquises, enseignes publicitaires et éclairages. Les prescriptions concernant les avant corps sont définies dans les PAP QE respectifs.</w:t>
      </w:r>
    </w:p>
    <w:p w14:paraId="3C32BFCE" w14:textId="77777777" w:rsidR="003558B5" w:rsidRDefault="003558B5" w:rsidP="003558B5">
      <w:r>
        <w:t xml:space="preserve">Les saillies définies ci-dessus peuvent être admises sous les conditions </w:t>
      </w:r>
      <w:proofErr w:type="gramStart"/>
      <w:r>
        <w:t>suivantes:</w:t>
      </w:r>
      <w:proofErr w:type="gramEnd"/>
    </w:p>
    <w:p w14:paraId="01F51682" w14:textId="77777777" w:rsidR="003558B5" w:rsidRDefault="003558B5" w:rsidP="003558B5">
      <w:pPr>
        <w:pStyle w:val="ListParagraph"/>
        <w:numPr>
          <w:ilvl w:val="0"/>
          <w:numId w:val="24"/>
        </w:numPr>
      </w:pPr>
      <w:r>
        <w:t>Les escaliers extérieurs et rampes peuvent avoir une saillie maximale de 2,00 mètres.</w:t>
      </w:r>
    </w:p>
    <w:p w14:paraId="326D3672" w14:textId="77777777" w:rsidR="003558B5" w:rsidRDefault="003558B5" w:rsidP="003558B5">
      <w:pPr>
        <w:pStyle w:val="ListParagraph"/>
        <w:numPr>
          <w:ilvl w:val="0"/>
          <w:numId w:val="24"/>
        </w:numPr>
      </w:pPr>
      <w:r>
        <w:t>Les saillies des corniches principales sont définies dans les PAP QE spécifiques.</w:t>
      </w:r>
    </w:p>
    <w:p w14:paraId="22CE7641" w14:textId="77777777" w:rsidR="003558B5" w:rsidRDefault="003558B5" w:rsidP="003558B5">
      <w:pPr>
        <w:pStyle w:val="ListParagraph"/>
        <w:numPr>
          <w:ilvl w:val="0"/>
          <w:numId w:val="24"/>
        </w:numPr>
      </w:pPr>
      <w:r>
        <w:t>Les auvents et avant-toits peuvent avoir une saillie maximale de 1,00 mètre.</w:t>
      </w:r>
    </w:p>
    <w:p w14:paraId="659B66FD" w14:textId="77777777" w:rsidR="003558B5" w:rsidRDefault="003558B5" w:rsidP="003558B5">
      <w:pPr>
        <w:pStyle w:val="ListParagraph"/>
        <w:numPr>
          <w:ilvl w:val="0"/>
          <w:numId w:val="24"/>
        </w:numPr>
      </w:pPr>
      <w:r>
        <w:lastRenderedPageBreak/>
        <w:t>Les balcons peuvent avoir une surface égale au dixième de la surface de la façade et leur saillie ne peut pas dépasser 2,00 mètres.</w:t>
      </w:r>
    </w:p>
    <w:p w14:paraId="15CAEDC6" w14:textId="77777777" w:rsidR="003558B5" w:rsidRDefault="003558B5" w:rsidP="003558B5">
      <w:pPr>
        <w:jc w:val="center"/>
      </w:pPr>
      <w:r w:rsidRPr="00F92468">
        <w:drawing>
          <wp:inline distT="0" distB="0" distL="0" distR="0" wp14:anchorId="53E3F95D" wp14:editId="6BE24A03">
            <wp:extent cx="4762500" cy="1276350"/>
            <wp:effectExtent l="0" t="0" r="0" b="0"/>
            <wp:docPr id="1349933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933573" name=""/>
                    <pic:cNvPicPr/>
                  </pic:nvPicPr>
                  <pic:blipFill>
                    <a:blip r:embed="rId7"/>
                    <a:stretch>
                      <a:fillRect/>
                    </a:stretch>
                  </pic:blipFill>
                  <pic:spPr>
                    <a:xfrm>
                      <a:off x="0" y="0"/>
                      <a:ext cx="4762500" cy="1276350"/>
                    </a:xfrm>
                    <a:prstGeom prst="rect">
                      <a:avLst/>
                    </a:prstGeom>
                  </pic:spPr>
                </pic:pic>
              </a:graphicData>
            </a:graphic>
          </wp:inline>
        </w:drawing>
      </w:r>
    </w:p>
    <w:p w14:paraId="2510940E" w14:textId="77777777" w:rsidR="003558B5" w:rsidRDefault="003558B5" w:rsidP="003558B5"/>
    <w:p w14:paraId="080CAFBC" w14:textId="77777777" w:rsidR="003558B5" w:rsidRDefault="003558B5" w:rsidP="003558B5">
      <w:r>
        <w:t>À l’exception des saillies visées sous les points a, b et c, les parties saillantes des constructions doivent respecter les reculs minimaux définies dans le PAP QE respectif. Les balcons, point d), peuvent entrer dans les reculs minimaux, toutefois ils doivent toujours avoir un recul d’au moins 1,90 mètre par rapport aux limites de propriété. Les escaliers aménagés dans le cadre de l’aménagement extérieur ne sont pas considérés comme saillies dans le sens du présent article.</w:t>
      </w:r>
    </w:p>
    <w:p w14:paraId="69BE802F" w14:textId="77777777" w:rsidR="003558B5" w:rsidRDefault="003558B5" w:rsidP="003558B5">
      <w:r>
        <w:t xml:space="preserve">Les acrotères des toitures plates peuvent présenter une saillie maximale de 0,05 mètre par rapport au </w:t>
      </w:r>
      <w:proofErr w:type="gramStart"/>
      <w:r>
        <w:t>plan</w:t>
      </w:r>
      <w:proofErr w:type="gramEnd"/>
      <w:r>
        <w:t xml:space="preserve"> de la façade.</w:t>
      </w:r>
    </w:p>
    <w:p w14:paraId="4C487074" w14:textId="77777777" w:rsidR="003558B5" w:rsidRDefault="003558B5" w:rsidP="003558B5">
      <w:pPr>
        <w:pStyle w:val="Heading1"/>
      </w:pPr>
      <w:r>
        <w:t xml:space="preserve">Art. 30 Emplacements de stationnement, garages et </w:t>
      </w:r>
      <w:proofErr w:type="spellStart"/>
      <w:r>
        <w:t>car-ports</w:t>
      </w:r>
      <w:proofErr w:type="spellEnd"/>
    </w:p>
    <w:p w14:paraId="120EE2C4" w14:textId="77777777" w:rsidR="003558B5" w:rsidRDefault="003558B5" w:rsidP="003558B5">
      <w:pPr>
        <w:pStyle w:val="Heading2"/>
      </w:pPr>
      <w:r>
        <w:t>Art. 30.1 Généralités</w:t>
      </w:r>
    </w:p>
    <w:p w14:paraId="601E3DC3" w14:textId="77777777" w:rsidR="003558B5" w:rsidRDefault="003558B5" w:rsidP="003558B5">
      <w:pPr>
        <w:pStyle w:val="ListParagraph"/>
        <w:numPr>
          <w:ilvl w:val="0"/>
          <w:numId w:val="25"/>
        </w:numPr>
      </w:pPr>
      <w:r>
        <w:t xml:space="preserve">Les emplacements peuvent être aménagés soit sous forme de garage ou de </w:t>
      </w:r>
      <w:proofErr w:type="spellStart"/>
      <w:r>
        <w:t>car-port</w:t>
      </w:r>
      <w:proofErr w:type="spellEnd"/>
      <w:r>
        <w:t>, soit sous forme d’emplacements de stationnement dans un sous-sol ou à ciel ouvert.</w:t>
      </w:r>
    </w:p>
    <w:p w14:paraId="03344367" w14:textId="77777777" w:rsidR="003558B5" w:rsidRDefault="003558B5" w:rsidP="003558B5">
      <w:pPr>
        <w:pStyle w:val="ListParagraph"/>
        <w:numPr>
          <w:ilvl w:val="0"/>
          <w:numId w:val="25"/>
        </w:numPr>
      </w:pPr>
      <w:r>
        <w:t>Les emplacements de stationnement à ciel libre sont admis dans le recul avant et latéral des constructions principales, sous réserve du respect des prescriptions du présent article. Les emplacements de stationnement à ciel libre sont interdits dans le recul arrière.</w:t>
      </w:r>
    </w:p>
    <w:p w14:paraId="070A6691" w14:textId="77777777" w:rsidR="003558B5" w:rsidRDefault="003558B5" w:rsidP="003558B5">
      <w:pPr>
        <w:pStyle w:val="ListParagraph"/>
        <w:numPr>
          <w:ilvl w:val="0"/>
          <w:numId w:val="25"/>
        </w:numPr>
      </w:pPr>
      <w:r>
        <w:t xml:space="preserve">La construction de garages ou de </w:t>
      </w:r>
      <w:proofErr w:type="spellStart"/>
      <w:r>
        <w:t>car-port</w:t>
      </w:r>
      <w:proofErr w:type="spellEnd"/>
      <w:r>
        <w:t xml:space="preserve"> est admise à l'intérieur du gabarit </w:t>
      </w:r>
      <w:proofErr w:type="gramStart"/>
      <w:r>
        <w:t>maximal..</w:t>
      </w:r>
      <w:proofErr w:type="gramEnd"/>
    </w:p>
    <w:p w14:paraId="350D793C" w14:textId="77777777" w:rsidR="003558B5" w:rsidRDefault="003558B5" w:rsidP="003558B5">
      <w:pPr>
        <w:pStyle w:val="ListParagraph"/>
        <w:numPr>
          <w:ilvl w:val="0"/>
          <w:numId w:val="25"/>
        </w:numPr>
      </w:pPr>
      <w:r>
        <w:t xml:space="preserve">Au rez-de-chaussée des maisons d’habitation bi- ou plurifamiliales, au maximum 50% de la surface </w:t>
      </w:r>
      <w:proofErr w:type="gramStart"/>
      <w:r>
        <w:t>hors</w:t>
      </w:r>
      <w:proofErr w:type="gramEnd"/>
      <w:r>
        <w:t xml:space="preserve"> </w:t>
      </w:r>
      <w:proofErr w:type="spellStart"/>
      <w:r>
        <w:t>oeuvre</w:t>
      </w:r>
      <w:proofErr w:type="spellEnd"/>
      <w:r>
        <w:t xml:space="preserve"> peuvent être dédiés à des fins de stationnement. Une dérogation peut être accordée pour des raisons urbanistiques ou topographiques.</w:t>
      </w:r>
    </w:p>
    <w:p w14:paraId="60F0B1E0" w14:textId="77777777" w:rsidR="003558B5" w:rsidRPr="00F92468" w:rsidRDefault="003558B5" w:rsidP="003558B5">
      <w:pPr>
        <w:pStyle w:val="Heading2"/>
      </w:pPr>
      <w:r w:rsidRPr="00F92468">
        <w:t xml:space="preserve">Art. 30.2 Garage ou </w:t>
      </w:r>
      <w:proofErr w:type="spellStart"/>
      <w:r w:rsidRPr="00F92468">
        <w:t>car-port</w:t>
      </w:r>
      <w:proofErr w:type="spellEnd"/>
      <w:r w:rsidRPr="00F92468">
        <w:t xml:space="preserve"> en dehors du gabarit de la construction principale</w:t>
      </w:r>
    </w:p>
    <w:p w14:paraId="0CE4CD16" w14:textId="77777777" w:rsidR="003558B5" w:rsidRDefault="003558B5" w:rsidP="003558B5">
      <w:r>
        <w:t xml:space="preserve">L’aménagement d’emplacements sous forme de garage ou de </w:t>
      </w:r>
      <w:proofErr w:type="spellStart"/>
      <w:r>
        <w:t>car-port</w:t>
      </w:r>
      <w:proofErr w:type="spellEnd"/>
      <w:r>
        <w:t xml:space="preserve"> en dehors du gabarit admis pour la construction principale est admis sous le respect des prescriptions du présent article et des dimensions définies dans l’Art. 30.3.</w:t>
      </w:r>
    </w:p>
    <w:p w14:paraId="409C7399" w14:textId="77777777" w:rsidR="003558B5" w:rsidRDefault="003558B5" w:rsidP="003558B5">
      <w:pPr>
        <w:jc w:val="center"/>
      </w:pPr>
      <w:r w:rsidRPr="00F92468">
        <w:lastRenderedPageBreak/>
        <w:drawing>
          <wp:inline distT="0" distB="0" distL="0" distR="0" wp14:anchorId="633E3E23" wp14:editId="65E2B807">
            <wp:extent cx="5731510" cy="3870960"/>
            <wp:effectExtent l="0" t="0" r="2540" b="0"/>
            <wp:docPr id="21190171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017181" name=""/>
                    <pic:cNvPicPr/>
                  </pic:nvPicPr>
                  <pic:blipFill>
                    <a:blip r:embed="rId8"/>
                    <a:stretch>
                      <a:fillRect/>
                    </a:stretch>
                  </pic:blipFill>
                  <pic:spPr>
                    <a:xfrm>
                      <a:off x="0" y="0"/>
                      <a:ext cx="5731510" cy="3870960"/>
                    </a:xfrm>
                    <a:prstGeom prst="rect">
                      <a:avLst/>
                    </a:prstGeom>
                  </pic:spPr>
                </pic:pic>
              </a:graphicData>
            </a:graphic>
          </wp:inline>
        </w:drawing>
      </w:r>
    </w:p>
    <w:p w14:paraId="4D0B8DAC" w14:textId="77777777" w:rsidR="003558B5" w:rsidRDefault="003558B5" w:rsidP="003558B5"/>
    <w:p w14:paraId="4F46D833" w14:textId="77777777" w:rsidR="003558B5" w:rsidRDefault="003558B5" w:rsidP="003558B5">
      <w:pPr>
        <w:pStyle w:val="ListParagraph"/>
        <w:numPr>
          <w:ilvl w:val="0"/>
          <w:numId w:val="26"/>
        </w:numPr>
      </w:pPr>
      <w:r>
        <w:t xml:space="preserve">Un </w:t>
      </w:r>
      <w:proofErr w:type="spellStart"/>
      <w:r>
        <w:t>car-port</w:t>
      </w:r>
      <w:proofErr w:type="spellEnd"/>
      <w:r>
        <w:t xml:space="preserve"> avec au maximum deux emplacements peut être aménagé dans le recul avant (voir Fig. A) des constructions isolées, jumelées ou groupées en bande, en respectant les conditions </w:t>
      </w:r>
      <w:proofErr w:type="gramStart"/>
      <w:r>
        <w:t>suivantes:</w:t>
      </w:r>
      <w:proofErr w:type="gramEnd"/>
    </w:p>
    <w:p w14:paraId="6BE0F8C3" w14:textId="77777777" w:rsidR="003558B5" w:rsidRDefault="003558B5" w:rsidP="003558B5">
      <w:pPr>
        <w:pStyle w:val="ListParagraph"/>
        <w:numPr>
          <w:ilvl w:val="1"/>
          <w:numId w:val="27"/>
        </w:numPr>
      </w:pPr>
      <w:proofErr w:type="gramStart"/>
      <w:r>
        <w:t>la</w:t>
      </w:r>
      <w:proofErr w:type="gramEnd"/>
      <w:r>
        <w:t xml:space="preserve"> construction peut se faire sans recul latéral (f), à condition que la face donnant sur la limite de propriété ne dépasse pas la hauteur de 3,00 mètres ; si cette hauteur maximale est dépassée, le recul latéral est de 2,00 mètres au minimum;</w:t>
      </w:r>
    </w:p>
    <w:p w14:paraId="30B441AF" w14:textId="77777777" w:rsidR="003558B5" w:rsidRDefault="003558B5" w:rsidP="003558B5">
      <w:pPr>
        <w:pStyle w:val="ListParagraph"/>
        <w:numPr>
          <w:ilvl w:val="1"/>
          <w:numId w:val="27"/>
        </w:numPr>
      </w:pPr>
      <w:proofErr w:type="gramStart"/>
      <w:r>
        <w:t>si</w:t>
      </w:r>
      <w:proofErr w:type="gramEnd"/>
      <w:r>
        <w:t xml:space="preserve"> l’accès est direct et perpendiculaire, la distance minimale entre les piliers ou un côté fermé et l’abord de la voie desservante (e) est de 2,00 mètres;</w:t>
      </w:r>
    </w:p>
    <w:p w14:paraId="0E489F55" w14:textId="77777777" w:rsidR="003558B5" w:rsidRDefault="003558B5" w:rsidP="003558B5">
      <w:pPr>
        <w:pStyle w:val="ListParagraph"/>
        <w:numPr>
          <w:ilvl w:val="1"/>
          <w:numId w:val="27"/>
        </w:numPr>
      </w:pPr>
      <w:proofErr w:type="gramStart"/>
      <w:r>
        <w:t>la</w:t>
      </w:r>
      <w:proofErr w:type="gramEnd"/>
      <w:r>
        <w:t xml:space="preserve"> construction peut accueillir au maximum deux emplacements de stationnement.</w:t>
      </w:r>
    </w:p>
    <w:p w14:paraId="131541AB" w14:textId="77777777" w:rsidR="003558B5" w:rsidRDefault="003558B5" w:rsidP="003558B5">
      <w:pPr>
        <w:pStyle w:val="ListParagraph"/>
        <w:numPr>
          <w:ilvl w:val="0"/>
          <w:numId w:val="26"/>
        </w:numPr>
      </w:pPr>
      <w:r>
        <w:t xml:space="preserve">Au maximum un </w:t>
      </w:r>
      <w:proofErr w:type="spellStart"/>
      <w:r>
        <w:t>car-port</w:t>
      </w:r>
      <w:proofErr w:type="spellEnd"/>
      <w:r>
        <w:t xml:space="preserve"> ou garage peut être admis dans le recul latéral (voir Fig. B) sur un côté de la construction principale, en respectant les conditions </w:t>
      </w:r>
      <w:proofErr w:type="gramStart"/>
      <w:r>
        <w:t>suivantes:</w:t>
      </w:r>
      <w:proofErr w:type="gramEnd"/>
    </w:p>
    <w:p w14:paraId="31850308" w14:textId="77777777" w:rsidR="003558B5" w:rsidRDefault="003558B5" w:rsidP="003558B5">
      <w:pPr>
        <w:pStyle w:val="ListParagraph"/>
        <w:numPr>
          <w:ilvl w:val="1"/>
          <w:numId w:val="28"/>
        </w:numPr>
      </w:pPr>
      <w:proofErr w:type="gramStart"/>
      <w:r>
        <w:t>un</w:t>
      </w:r>
      <w:proofErr w:type="gramEnd"/>
      <w:r>
        <w:t xml:space="preserve"> </w:t>
      </w:r>
      <w:proofErr w:type="spellStart"/>
      <w:r>
        <w:t>car-port</w:t>
      </w:r>
      <w:proofErr w:type="spellEnd"/>
      <w:r>
        <w:t xml:space="preserve"> ou garage peut être implanté sans recul latéral, à condition que la face donnant sur la limite de propriété ne dépasse pas la hauteur de 3,00 mètres;</w:t>
      </w:r>
    </w:p>
    <w:p w14:paraId="56D20F70" w14:textId="77777777" w:rsidR="003558B5" w:rsidRDefault="003558B5" w:rsidP="003558B5">
      <w:pPr>
        <w:pStyle w:val="ListParagraph"/>
        <w:numPr>
          <w:ilvl w:val="1"/>
          <w:numId w:val="28"/>
        </w:numPr>
      </w:pPr>
      <w:proofErr w:type="gramStart"/>
      <w:r>
        <w:t>la</w:t>
      </w:r>
      <w:proofErr w:type="gramEnd"/>
      <w:r>
        <w:t xml:space="preserve"> distance minimale de l’abord de la voie desservante (e) est de 2,00 mètres;</w:t>
      </w:r>
    </w:p>
    <w:p w14:paraId="53A72B1B" w14:textId="77777777" w:rsidR="003558B5" w:rsidRDefault="003558B5" w:rsidP="003558B5">
      <w:pPr>
        <w:pStyle w:val="ListParagraph"/>
        <w:numPr>
          <w:ilvl w:val="1"/>
          <w:numId w:val="28"/>
        </w:numPr>
      </w:pPr>
      <w:proofErr w:type="gramStart"/>
      <w:r>
        <w:lastRenderedPageBreak/>
        <w:t>la</w:t>
      </w:r>
      <w:proofErr w:type="gramEnd"/>
      <w:r>
        <w:t xml:space="preserve"> limite arrière ne dépasse pas la façade arrière de la maison d’habitation.</w:t>
      </w:r>
    </w:p>
    <w:p w14:paraId="4F2D8878" w14:textId="77777777" w:rsidR="003558B5" w:rsidRDefault="003558B5" w:rsidP="003558B5">
      <w:pPr>
        <w:pStyle w:val="Heading2"/>
      </w:pPr>
      <w:r>
        <w:t xml:space="preserve">Art. 30.3 Dimensions des garages et </w:t>
      </w:r>
      <w:proofErr w:type="spellStart"/>
      <w:r>
        <w:t>car-ports</w:t>
      </w:r>
      <w:proofErr w:type="spellEnd"/>
    </w:p>
    <w:p w14:paraId="20D93F62" w14:textId="77777777" w:rsidR="003558B5" w:rsidRPr="00F92468" w:rsidRDefault="003558B5" w:rsidP="003558B5">
      <w:pPr>
        <w:rPr>
          <w:b/>
          <w:bCs/>
          <w:u w:val="single"/>
        </w:rPr>
      </w:pPr>
      <w:proofErr w:type="spellStart"/>
      <w:r w:rsidRPr="00F92468">
        <w:rPr>
          <w:b/>
          <w:bCs/>
          <w:u w:val="single"/>
        </w:rPr>
        <w:t>Car-ports</w:t>
      </w:r>
      <w:proofErr w:type="spellEnd"/>
    </w:p>
    <w:p w14:paraId="496159A2" w14:textId="77777777" w:rsidR="003558B5" w:rsidRDefault="003558B5" w:rsidP="003558B5">
      <w:pPr>
        <w:pStyle w:val="ListParagraph"/>
        <w:numPr>
          <w:ilvl w:val="0"/>
          <w:numId w:val="29"/>
        </w:numPr>
      </w:pPr>
      <w:r>
        <w:t xml:space="preserve">La hauteur maximale totale des </w:t>
      </w:r>
      <w:proofErr w:type="spellStart"/>
      <w:r>
        <w:t>car-ports</w:t>
      </w:r>
      <w:proofErr w:type="spellEnd"/>
      <w:r>
        <w:t xml:space="preserve"> est de 3,00 mètres. Les </w:t>
      </w:r>
      <w:proofErr w:type="spellStart"/>
      <w:r>
        <w:t>car-ports</w:t>
      </w:r>
      <w:proofErr w:type="spellEnd"/>
      <w:r>
        <w:t xml:space="preserve"> ont une toiture plate ou légèrement inclinée et sont ouverts sur au moins deux côtés. Le côté du </w:t>
      </w:r>
      <w:proofErr w:type="spellStart"/>
      <w:r>
        <w:t>car-port</w:t>
      </w:r>
      <w:proofErr w:type="spellEnd"/>
      <w:r>
        <w:t xml:space="preserve"> accolé à la construction principale ou annexe est à considérer comme fermé (non-ouvert).</w:t>
      </w:r>
    </w:p>
    <w:p w14:paraId="36B87D2F" w14:textId="77777777" w:rsidR="003558B5" w:rsidRPr="00F92468" w:rsidRDefault="003558B5" w:rsidP="003558B5">
      <w:pPr>
        <w:rPr>
          <w:b/>
          <w:bCs/>
          <w:u w:val="single"/>
        </w:rPr>
      </w:pPr>
      <w:r w:rsidRPr="00F92468">
        <w:rPr>
          <w:b/>
          <w:bCs/>
          <w:u w:val="single"/>
        </w:rPr>
        <w:t>Garages</w:t>
      </w:r>
    </w:p>
    <w:p w14:paraId="5EA74C0A" w14:textId="77777777" w:rsidR="003558B5" w:rsidRDefault="003558B5" w:rsidP="003558B5">
      <w:pPr>
        <w:pStyle w:val="ListParagraph"/>
        <w:numPr>
          <w:ilvl w:val="0"/>
          <w:numId w:val="30"/>
        </w:numPr>
      </w:pPr>
      <w:r>
        <w:t>Pour les garages qui ne sont pas intégrés dans le gabarit de la construction principale, la hauteur maximale totale est de 3,50 mètres.</w:t>
      </w:r>
    </w:p>
    <w:p w14:paraId="531CFEE9" w14:textId="77777777" w:rsidR="003558B5" w:rsidRDefault="003558B5" w:rsidP="003558B5">
      <w:pPr>
        <w:pStyle w:val="ListParagraph"/>
        <w:numPr>
          <w:ilvl w:val="0"/>
          <w:numId w:val="30"/>
        </w:numPr>
      </w:pPr>
      <w:r>
        <w:t>La toiture d'un garage a une forme libre. La toiture d’un garage accolé à la construction principale peut être aménagée sous forme de toiture-terrasse, si le garage observe un recul d'au moins 3,00 mètres de la limite de la parcelle.</w:t>
      </w:r>
    </w:p>
    <w:p w14:paraId="1A6C2456" w14:textId="77777777" w:rsidR="003558B5" w:rsidRDefault="003558B5" w:rsidP="003558B5">
      <w:pPr>
        <w:pStyle w:val="Heading1"/>
      </w:pPr>
      <w:r>
        <w:t>Art. 31 Dépendances</w:t>
      </w:r>
    </w:p>
    <w:p w14:paraId="41BABC1A" w14:textId="77777777" w:rsidR="003558B5" w:rsidRDefault="003558B5" w:rsidP="003558B5">
      <w:pPr>
        <w:pStyle w:val="ListParagraph"/>
        <w:numPr>
          <w:ilvl w:val="0"/>
          <w:numId w:val="31"/>
        </w:numPr>
      </w:pPr>
      <w:r>
        <w:t xml:space="preserve">Des dépendances, à l’exception de garages ou de </w:t>
      </w:r>
      <w:proofErr w:type="spellStart"/>
      <w:r>
        <w:t>car-ports</w:t>
      </w:r>
      <w:proofErr w:type="spellEnd"/>
      <w:r>
        <w:t xml:space="preserve">, et les pergolas sont admises dans le recul arrière des constructions, sous réserve des conditions </w:t>
      </w:r>
      <w:proofErr w:type="gramStart"/>
      <w:r>
        <w:t>suivantes:</w:t>
      </w:r>
      <w:proofErr w:type="gramEnd"/>
    </w:p>
    <w:p w14:paraId="33CF0883" w14:textId="77777777" w:rsidR="003558B5" w:rsidRDefault="003558B5" w:rsidP="003558B5">
      <w:pPr>
        <w:pStyle w:val="ListParagraph"/>
        <w:numPr>
          <w:ilvl w:val="0"/>
          <w:numId w:val="32"/>
        </w:numPr>
      </w:pPr>
      <w:r>
        <w:t>La somme de toutes ces dépendances ne peut pas dépasser 20 m</w:t>
      </w:r>
      <w:r w:rsidRPr="00F92468">
        <w:rPr>
          <w:vertAlign w:val="superscript"/>
        </w:rPr>
        <w:t>2</w:t>
      </w:r>
      <w:r>
        <w:t xml:space="preserve"> par parcelle.</w:t>
      </w:r>
    </w:p>
    <w:p w14:paraId="288665FA" w14:textId="77777777" w:rsidR="003558B5" w:rsidRDefault="003558B5" w:rsidP="003558B5">
      <w:pPr>
        <w:pStyle w:val="ListParagraph"/>
        <w:numPr>
          <w:ilvl w:val="0"/>
          <w:numId w:val="32"/>
        </w:numPr>
      </w:pPr>
      <w:r>
        <w:t>Les dépendances doivent respecter un recul minimum de 1,00 mètre sur les limites de la parcelle. Les dépendances peuvent être implantés sur la limite, de part et d'autre, sous condition d’avoir un accord écrit entre voisins.</w:t>
      </w:r>
    </w:p>
    <w:p w14:paraId="4703003C" w14:textId="77777777" w:rsidR="003558B5" w:rsidRDefault="003558B5" w:rsidP="003558B5">
      <w:pPr>
        <w:pStyle w:val="ListParagraph"/>
        <w:numPr>
          <w:ilvl w:val="0"/>
          <w:numId w:val="32"/>
        </w:numPr>
      </w:pPr>
      <w:r>
        <w:t>La hauteur maximale totale des dépendances est de 3,00 mètres. Cette hauteur est à mesurer par rapport au niveau du terrain existant.</w:t>
      </w:r>
    </w:p>
    <w:p w14:paraId="592CE486" w14:textId="77777777" w:rsidR="003558B5" w:rsidRDefault="003558B5" w:rsidP="003558B5">
      <w:pPr>
        <w:pStyle w:val="ListParagraph"/>
        <w:numPr>
          <w:ilvl w:val="0"/>
          <w:numId w:val="32"/>
        </w:numPr>
      </w:pPr>
      <w:r>
        <w:t>La forme de la toiture est libre. L'aménagement d'un toit-terrasse est interdit.</w:t>
      </w:r>
    </w:p>
    <w:p w14:paraId="2A47C3A5" w14:textId="77777777" w:rsidR="003558B5" w:rsidRDefault="003558B5" w:rsidP="003558B5">
      <w:pPr>
        <w:pStyle w:val="ListParagraph"/>
        <w:numPr>
          <w:ilvl w:val="0"/>
          <w:numId w:val="31"/>
        </w:numPr>
      </w:pPr>
      <w:r>
        <w:t>Les dépendances visées par le présent article ne peuvent en aucun cas servir à l'habitation, à l'exercice d'une activité professionnelle ou au stationnement de voitures.</w:t>
      </w:r>
    </w:p>
    <w:p w14:paraId="1E29580D" w14:textId="77777777" w:rsidR="003558B5" w:rsidRDefault="003558B5" w:rsidP="003558B5">
      <w:pPr>
        <w:pStyle w:val="Heading1"/>
      </w:pPr>
      <w:r>
        <w:t>Art. 32 Équipements techniques fixes</w:t>
      </w:r>
    </w:p>
    <w:p w14:paraId="3323ACA9" w14:textId="77777777" w:rsidR="003558B5" w:rsidRDefault="003558B5" w:rsidP="003558B5">
      <w:pPr>
        <w:pStyle w:val="ListParagraph"/>
        <w:numPr>
          <w:ilvl w:val="0"/>
          <w:numId w:val="33"/>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7AA3A33C" w14:textId="77777777" w:rsidR="003558B5" w:rsidRDefault="003558B5" w:rsidP="003558B5">
      <w:pPr>
        <w:pStyle w:val="ListParagraph"/>
        <w:numPr>
          <w:ilvl w:val="0"/>
          <w:numId w:val="33"/>
        </w:numPr>
      </w:pPr>
      <w:r>
        <w:lastRenderedPageBreak/>
        <w:t>Par exception au point a), les éléments extérieurs d’une pompe à chaleur aérothermique (air/eau) sont admis dans le recul arrière ou latéral de la construction principale, sous condition de respecter un recul minimal de 2,00 mètres de la limite de la parcelle.</w:t>
      </w:r>
    </w:p>
    <w:p w14:paraId="72BA3ED0" w14:textId="77777777" w:rsidR="003558B5" w:rsidRDefault="003558B5" w:rsidP="003558B5">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6E08A1E1" w14:textId="77777777" w:rsidR="003558B5" w:rsidRDefault="003558B5" w:rsidP="003558B5">
      <w:pPr>
        <w:pStyle w:val="ListParagraph"/>
        <w:numPr>
          <w:ilvl w:val="0"/>
          <w:numId w:val="33"/>
        </w:numPr>
      </w:pPr>
      <w:r>
        <w:t>Une dérogation relative aux reculs minimas du point b) peut être accordée, sous condition qu’une attestation délivrée par un expert agrée en la matière démontre la conformité de l’installation aux prescriptions relatives à la protection contre le bruit fixées dans le Règlement sur les Bâtisses, les Voies Publiques et les Sites.</w:t>
      </w:r>
    </w:p>
    <w:p w14:paraId="5C37195E" w14:textId="77777777" w:rsidR="003558B5" w:rsidRDefault="003558B5" w:rsidP="003558B5">
      <w:pPr>
        <w:pStyle w:val="Heading1"/>
      </w:pPr>
      <w:r>
        <w:t>Art. 33 Espaces libres et jardins privés</w:t>
      </w:r>
    </w:p>
    <w:p w14:paraId="48D502E4" w14:textId="77777777" w:rsidR="003558B5" w:rsidRDefault="003558B5" w:rsidP="003558B5">
      <w:pPr>
        <w:pStyle w:val="ListParagraph"/>
        <w:numPr>
          <w:ilvl w:val="0"/>
          <w:numId w:val="34"/>
        </w:numPr>
      </w:pPr>
      <w:r>
        <w:t>Au moins 50% de la surface totale des marges de reculement avant, arrière et latéraux est à aménager en tant qu’espace vert.</w:t>
      </w:r>
    </w:p>
    <w:p w14:paraId="2EDCB334" w14:textId="77777777" w:rsidR="003558B5" w:rsidRDefault="003558B5" w:rsidP="003558B5">
      <w:pPr>
        <w:ind w:left="720"/>
      </w:pPr>
      <w:r>
        <w:t>Ne sont pas considérés en tant qu’espace vert dans le sens du présent article</w:t>
      </w:r>
    </w:p>
    <w:p w14:paraId="63D3AB94" w14:textId="77777777" w:rsidR="003558B5" w:rsidRDefault="003558B5" w:rsidP="003558B5">
      <w:pPr>
        <w:pStyle w:val="ListParagraph"/>
        <w:numPr>
          <w:ilvl w:val="0"/>
          <w:numId w:val="35"/>
        </w:numPr>
      </w:pPr>
      <w:proofErr w:type="gramStart"/>
      <w:r>
        <w:t>toute</w:t>
      </w:r>
      <w:proofErr w:type="gramEnd"/>
      <w:r>
        <w:t xml:space="preserve"> surface couverte par un revêtement de sol minéral, y inclus les jardins rocheux et les dalles de gazon, ainsi que toute surface utilisée pour le stationnement de véhicules;</w:t>
      </w:r>
    </w:p>
    <w:p w14:paraId="4A6A36DD" w14:textId="77777777" w:rsidR="003558B5" w:rsidRDefault="003558B5" w:rsidP="003558B5">
      <w:pPr>
        <w:pStyle w:val="ListParagraph"/>
        <w:numPr>
          <w:ilvl w:val="0"/>
          <w:numId w:val="35"/>
        </w:numPr>
      </w:pPr>
      <w:proofErr w:type="gramStart"/>
      <w:r>
        <w:t>toute</w:t>
      </w:r>
      <w:proofErr w:type="gramEnd"/>
      <w:r>
        <w:t xml:space="preserve"> surface couverte par des escaliers;</w:t>
      </w:r>
    </w:p>
    <w:p w14:paraId="67C79DEA" w14:textId="77777777" w:rsidR="003558B5" w:rsidRDefault="003558B5" w:rsidP="003558B5">
      <w:pPr>
        <w:pStyle w:val="ListParagraph"/>
        <w:numPr>
          <w:ilvl w:val="0"/>
          <w:numId w:val="35"/>
        </w:numPr>
      </w:pPr>
      <w:proofErr w:type="gramStart"/>
      <w:r>
        <w:t>les</w:t>
      </w:r>
      <w:proofErr w:type="gramEnd"/>
      <w:r>
        <w:t xml:space="preserve"> chemins, terrasses, escaliers et murs;</w:t>
      </w:r>
    </w:p>
    <w:p w14:paraId="70020DD8" w14:textId="77777777" w:rsidR="003558B5" w:rsidRDefault="003558B5" w:rsidP="003558B5">
      <w:pPr>
        <w:pStyle w:val="ListParagraph"/>
        <w:numPr>
          <w:ilvl w:val="0"/>
          <w:numId w:val="35"/>
        </w:numPr>
      </w:pPr>
      <w:proofErr w:type="gramStart"/>
      <w:r>
        <w:t>les</w:t>
      </w:r>
      <w:proofErr w:type="gramEnd"/>
      <w:r>
        <w:t xml:space="preserve"> dépendances;</w:t>
      </w:r>
    </w:p>
    <w:p w14:paraId="19DA10A1" w14:textId="77777777" w:rsidR="003558B5" w:rsidRDefault="003558B5" w:rsidP="003558B5">
      <w:pPr>
        <w:pStyle w:val="ListParagraph"/>
        <w:numPr>
          <w:ilvl w:val="0"/>
          <w:numId w:val="35"/>
        </w:numPr>
      </w:pPr>
      <w:proofErr w:type="gramStart"/>
      <w:r>
        <w:t>les</w:t>
      </w:r>
      <w:proofErr w:type="gramEnd"/>
      <w:r>
        <w:t xml:space="preserve"> piscines.</w:t>
      </w:r>
    </w:p>
    <w:p w14:paraId="5DBCBF63" w14:textId="77777777" w:rsidR="003558B5" w:rsidRDefault="003558B5" w:rsidP="003558B5">
      <w:pPr>
        <w:pStyle w:val="ListParagraph"/>
        <w:numPr>
          <w:ilvl w:val="0"/>
          <w:numId w:val="34"/>
        </w:numPr>
      </w:pPr>
      <w: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2D071D12" w14:textId="77777777" w:rsidR="003558B5" w:rsidRDefault="003558B5" w:rsidP="003558B5">
      <w:pPr>
        <w:pStyle w:val="Heading1"/>
      </w:pPr>
      <w:r>
        <w:t>Art. 34 Travaux de déblai et remblai</w:t>
      </w:r>
    </w:p>
    <w:p w14:paraId="04F308CB" w14:textId="77777777" w:rsidR="003558B5" w:rsidRDefault="003558B5" w:rsidP="003558B5">
      <w:r>
        <w:t>Le terrain naturel est à sauvegarder dans la mesure du possible. Un remblai de terre jusqu'à 1,00 mètre au-dessus ou un déblai jusqu'à 1,00 mètre en dessous du terrain naturel, avec un recul d'au moins 1,00 mètres des limites de parcelles est admis.</w:t>
      </w:r>
    </w:p>
    <w:p w14:paraId="7AA511A2" w14:textId="77777777" w:rsidR="003558B5" w:rsidRDefault="003558B5" w:rsidP="003558B5">
      <w:r>
        <w:t>Le remblai peut être aménagé de part et d'autre des limites latérales avec l'accord réciproque entre voisins.</w:t>
      </w:r>
    </w:p>
    <w:p w14:paraId="29A27567" w14:textId="77777777" w:rsidR="003558B5" w:rsidRDefault="003558B5" w:rsidP="003558B5">
      <w:pPr>
        <w:pStyle w:val="Heading1"/>
      </w:pPr>
      <w:r>
        <w:lastRenderedPageBreak/>
        <w:t>Art. 35 Clôtures, murs de soutènement</w:t>
      </w:r>
    </w:p>
    <w:p w14:paraId="587ECC81" w14:textId="77777777" w:rsidR="003558B5" w:rsidRDefault="003558B5" w:rsidP="003558B5">
      <w:pPr>
        <w:pStyle w:val="ListParagraph"/>
        <w:numPr>
          <w:ilvl w:val="2"/>
          <w:numId w:val="27"/>
        </w:numPr>
      </w:pPr>
      <w:r>
        <w:t>Les limites entre domaines publics et privés peuvent être clôturées par des socles, des murets, des haies vives ou par des grillages, dont la hauteur totale maximale est de 1,00 mètre, mesurée par rapport au niveau du domaine public. Ces dispositions sont applicables sur une profondeur de 2,00 mètres, mesurée à partir de ladite limite.</w:t>
      </w:r>
    </w:p>
    <w:p w14:paraId="137853C6" w14:textId="77777777" w:rsidR="003558B5" w:rsidRDefault="003558B5" w:rsidP="003558B5">
      <w:pPr>
        <w:ind w:left="720"/>
      </w:pPr>
      <w:r>
        <w:t>Une dérogation peut être accordée pour les limites latérales ou postérieures, sans toutefois dépasser une hauteur maximale totale de 1,80 mètre, mesurée par rapport au niveau du domaine public.</w:t>
      </w:r>
    </w:p>
    <w:p w14:paraId="0A327D6B" w14:textId="77777777" w:rsidR="003558B5" w:rsidRDefault="003558B5" w:rsidP="003558B5">
      <w:pPr>
        <w:pStyle w:val="ListParagraph"/>
        <w:numPr>
          <w:ilvl w:val="2"/>
          <w:numId w:val="27"/>
        </w:numPr>
      </w:pPr>
      <w:r>
        <w:t>Les limites de propriété latérales et postérieures peuvent être clôturées jusqu’à une hauteur totale maximale de 2,00 mètres, y inclut un mur dont la hauteur maximale ne peut pas dépasser 0,60 mètre.</w:t>
      </w:r>
    </w:p>
    <w:p w14:paraId="4E0224F9" w14:textId="77777777" w:rsidR="003558B5" w:rsidRDefault="003558B5" w:rsidP="003558B5">
      <w:pPr>
        <w:ind w:left="720"/>
      </w:pPr>
      <w:r>
        <w:t>Les clôtures doivent être transparentes sur au moins 70% de la surface totale d’une clôture le long d’une limite de parcelle donnée. Ces dispositions sont applicables sur une bande d’une largeur de 2,00 mètres, mesurée à partir de ladite limite.</w:t>
      </w:r>
    </w:p>
    <w:p w14:paraId="435139A7" w14:textId="77777777" w:rsidR="003558B5" w:rsidRDefault="003558B5" w:rsidP="003558B5">
      <w:pPr>
        <w:pStyle w:val="ListParagraph"/>
        <w:numPr>
          <w:ilvl w:val="2"/>
          <w:numId w:val="27"/>
        </w:numPr>
      </w:pPr>
      <w:r>
        <w:t>La hauteur maximale d’une clôture aménagée au-delà de la limite de parcelle ou de la limite entre domaines publics et privés est de 2,00 mètres.</w:t>
      </w:r>
    </w:p>
    <w:p w14:paraId="1E1D834D" w14:textId="77777777" w:rsidR="003558B5" w:rsidRDefault="003558B5" w:rsidP="003558B5">
      <w:pPr>
        <w:pStyle w:val="ListParagraph"/>
        <w:numPr>
          <w:ilvl w:val="2"/>
          <w:numId w:val="27"/>
        </w:numPr>
      </w:pPr>
      <w:r>
        <w:t>La hauteur maximale des murs de clôture à établir sur la ligne séparatrice entre deux constructions jumelées ou groupées – entre cours ou terrasse – derrière la façade postérieure des constructions est fixée à 2,00 mètres au maximum. La longueur du mur de séparation ne peut excéder 4,00 mètres.</w:t>
      </w:r>
    </w:p>
    <w:p w14:paraId="6D42ED52" w14:textId="77777777" w:rsidR="003558B5" w:rsidRDefault="003558B5" w:rsidP="003558B5">
      <w:pPr>
        <w:pStyle w:val="ListParagraph"/>
        <w:numPr>
          <w:ilvl w:val="2"/>
          <w:numId w:val="27"/>
        </w:numPr>
      </w:pPr>
      <w:r>
        <w:t>Un ou plusieurs murs de soutènement d’une hauteur maximale de 1,00 mètre sont admis sur des terrains en pente dans le recul latéral et postérieur. Entre deux murs et entre la limite de la parcelle et le mur le plus proche de cette limite, une distance d’au moins 1,00 mètre est à respecter. La distance par rapport à la limite de propriété peut être diminuée, si un mur de soutènement sert également de clôture sur une limite latérale ou postérieure. Pour les terrains avec une pente moyenne supérieure à 15%, cette hauteur maximale peut être dépassée de 0,50 mètre, à condition que la hauteur moyenne mesurée sur toute la longueur d’un mur de soutènement n’excède pas la hauteur maximale de 1,00 mètre.</w:t>
      </w:r>
    </w:p>
    <w:p w14:paraId="07D743DF" w14:textId="514CABA8" w:rsidR="003558B5" w:rsidRPr="007D461A" w:rsidRDefault="003558B5" w:rsidP="003558B5">
      <w:pPr>
        <w:pStyle w:val="ListParagraph"/>
        <w:numPr>
          <w:ilvl w:val="2"/>
          <w:numId w:val="27"/>
        </w:numPr>
      </w:pPr>
      <w:r>
        <w:t>Une dérogation par rapport aux dispositions du présent article peut être accordé dans le cadre de la construction d’aménagements et d’équipements publics.</w:t>
      </w:r>
    </w:p>
    <w:sectPr w:rsidR="003558B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083"/>
    <w:multiLevelType w:val="hybridMultilevel"/>
    <w:tmpl w:val="9782D6F6"/>
    <w:lvl w:ilvl="0" w:tplc="04090017">
      <w:start w:val="1"/>
      <w:numFmt w:val="lowerLetter"/>
      <w:lvlText w:val="%1)"/>
      <w:lvlJc w:val="left"/>
      <w:pPr>
        <w:ind w:left="720" w:hanging="360"/>
      </w:pPr>
      <w:rPr>
        <w:rFonts w:hint="default"/>
      </w:rPr>
    </w:lvl>
    <w:lvl w:ilvl="1" w:tplc="745A42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2312E"/>
    <w:multiLevelType w:val="hybridMultilevel"/>
    <w:tmpl w:val="1562A1B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 w15:restartNumberingAfterBreak="0">
    <w:nsid w:val="08EE3B68"/>
    <w:multiLevelType w:val="hybridMultilevel"/>
    <w:tmpl w:val="A41C44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75B63"/>
    <w:multiLevelType w:val="hybridMultilevel"/>
    <w:tmpl w:val="8C8E91FC"/>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CE6552"/>
    <w:multiLevelType w:val="hybridMultilevel"/>
    <w:tmpl w:val="B8447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523CA"/>
    <w:multiLevelType w:val="hybridMultilevel"/>
    <w:tmpl w:val="C108C09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8" w15:restartNumberingAfterBreak="0">
    <w:nsid w:val="19C67931"/>
    <w:multiLevelType w:val="hybridMultilevel"/>
    <w:tmpl w:val="29C2518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9" w15:restartNumberingAfterBreak="0">
    <w:nsid w:val="1A031676"/>
    <w:multiLevelType w:val="hybridMultilevel"/>
    <w:tmpl w:val="CA047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FC3AE0"/>
    <w:multiLevelType w:val="hybridMultilevel"/>
    <w:tmpl w:val="81AAF47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1" w15:restartNumberingAfterBreak="0">
    <w:nsid w:val="1C6204B5"/>
    <w:multiLevelType w:val="hybridMultilevel"/>
    <w:tmpl w:val="18EC9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3E7EC2"/>
    <w:multiLevelType w:val="hybridMultilevel"/>
    <w:tmpl w:val="41FA709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13" w15:restartNumberingAfterBreak="0">
    <w:nsid w:val="26443CA2"/>
    <w:multiLevelType w:val="hybridMultilevel"/>
    <w:tmpl w:val="91B8CB50"/>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start w:val="1"/>
      <w:numFmt w:val="bullet"/>
      <w:lvlText w:val=""/>
      <w:lvlJc w:val="left"/>
      <w:pPr>
        <w:ind w:left="2880" w:hanging="360"/>
      </w:pPr>
      <w:rPr>
        <w:rFonts w:ascii="Wingdings" w:hAnsi="Wingdings" w:hint="default"/>
      </w:rPr>
    </w:lvl>
    <w:lvl w:ilvl="3" w:tplc="046E0001">
      <w:start w:val="1"/>
      <w:numFmt w:val="bullet"/>
      <w:lvlText w:val=""/>
      <w:lvlJc w:val="left"/>
      <w:pPr>
        <w:ind w:left="3600" w:hanging="360"/>
      </w:pPr>
      <w:rPr>
        <w:rFonts w:ascii="Symbol" w:hAnsi="Symbol" w:hint="default"/>
      </w:rPr>
    </w:lvl>
    <w:lvl w:ilvl="4" w:tplc="046E0003">
      <w:start w:val="1"/>
      <w:numFmt w:val="bullet"/>
      <w:lvlText w:val="o"/>
      <w:lvlJc w:val="left"/>
      <w:pPr>
        <w:ind w:left="4320" w:hanging="360"/>
      </w:pPr>
      <w:rPr>
        <w:rFonts w:ascii="Courier New" w:hAnsi="Courier New" w:cs="Courier New" w:hint="default"/>
      </w:rPr>
    </w:lvl>
    <w:lvl w:ilvl="5" w:tplc="046E0005">
      <w:start w:val="1"/>
      <w:numFmt w:val="bullet"/>
      <w:lvlText w:val=""/>
      <w:lvlJc w:val="left"/>
      <w:pPr>
        <w:ind w:left="5040" w:hanging="360"/>
      </w:pPr>
      <w:rPr>
        <w:rFonts w:ascii="Wingdings" w:hAnsi="Wingdings" w:hint="default"/>
      </w:rPr>
    </w:lvl>
    <w:lvl w:ilvl="6" w:tplc="046E0001">
      <w:start w:val="1"/>
      <w:numFmt w:val="bullet"/>
      <w:lvlText w:val=""/>
      <w:lvlJc w:val="left"/>
      <w:pPr>
        <w:ind w:left="5760" w:hanging="360"/>
      </w:pPr>
      <w:rPr>
        <w:rFonts w:ascii="Symbol" w:hAnsi="Symbol" w:hint="default"/>
      </w:rPr>
    </w:lvl>
    <w:lvl w:ilvl="7" w:tplc="046E0003">
      <w:start w:val="1"/>
      <w:numFmt w:val="bullet"/>
      <w:lvlText w:val="o"/>
      <w:lvlJc w:val="left"/>
      <w:pPr>
        <w:ind w:left="6480" w:hanging="360"/>
      </w:pPr>
      <w:rPr>
        <w:rFonts w:ascii="Courier New" w:hAnsi="Courier New" w:cs="Courier New" w:hint="default"/>
      </w:rPr>
    </w:lvl>
    <w:lvl w:ilvl="8" w:tplc="046E0005">
      <w:start w:val="1"/>
      <w:numFmt w:val="bullet"/>
      <w:lvlText w:val=""/>
      <w:lvlJc w:val="left"/>
      <w:pPr>
        <w:ind w:left="7200" w:hanging="360"/>
      </w:pPr>
      <w:rPr>
        <w:rFonts w:ascii="Wingdings" w:hAnsi="Wingdings" w:hint="default"/>
      </w:rPr>
    </w:lvl>
  </w:abstractNum>
  <w:abstractNum w:abstractNumId="14" w15:restartNumberingAfterBreak="0">
    <w:nsid w:val="290C695F"/>
    <w:multiLevelType w:val="hybridMultilevel"/>
    <w:tmpl w:val="C2107CE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5D14E2"/>
    <w:multiLevelType w:val="hybridMultilevel"/>
    <w:tmpl w:val="73C48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A930FB"/>
    <w:multiLevelType w:val="hybridMultilevel"/>
    <w:tmpl w:val="39E44F14"/>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18" w15:restartNumberingAfterBreak="0">
    <w:nsid w:val="3F915223"/>
    <w:multiLevelType w:val="hybridMultilevel"/>
    <w:tmpl w:val="5A7E08B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7">
      <w:start w:val="1"/>
      <w:numFmt w:val="lowerLetter"/>
      <w:lvlText w:val="%3)"/>
      <w:lvlJc w:val="left"/>
      <w:pPr>
        <w:ind w:left="720" w:hanging="36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2554AB"/>
    <w:multiLevelType w:val="hybridMultilevel"/>
    <w:tmpl w:val="D02A834E"/>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1" w15:restartNumberingAfterBreak="0">
    <w:nsid w:val="4BCC041E"/>
    <w:multiLevelType w:val="hybridMultilevel"/>
    <w:tmpl w:val="917E0B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2" w15:restartNumberingAfterBreak="0">
    <w:nsid w:val="4F2B6DD9"/>
    <w:multiLevelType w:val="hybridMultilevel"/>
    <w:tmpl w:val="AE8013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99564C"/>
    <w:multiLevelType w:val="hybridMultilevel"/>
    <w:tmpl w:val="50182E98"/>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4" w15:restartNumberingAfterBreak="0">
    <w:nsid w:val="52456114"/>
    <w:multiLevelType w:val="hybridMultilevel"/>
    <w:tmpl w:val="EEDABC7E"/>
    <w:lvl w:ilvl="0" w:tplc="046E0017">
      <w:start w:val="1"/>
      <w:numFmt w:val="lowerLetter"/>
      <w:lvlText w:val="%1)"/>
      <w:lvlJc w:val="left"/>
      <w:pPr>
        <w:ind w:left="720" w:hanging="360"/>
      </w:pPr>
    </w:lvl>
    <w:lvl w:ilvl="1" w:tplc="251AD30E">
      <w:start w:val="1"/>
      <w:numFmt w:val="decimal"/>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25" w15:restartNumberingAfterBreak="0">
    <w:nsid w:val="5266572A"/>
    <w:multiLevelType w:val="hybridMultilevel"/>
    <w:tmpl w:val="689825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CE6B9B"/>
    <w:multiLevelType w:val="hybridMultilevel"/>
    <w:tmpl w:val="CA72334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27" w15:restartNumberingAfterBreak="0">
    <w:nsid w:val="537A3456"/>
    <w:multiLevelType w:val="hybridMultilevel"/>
    <w:tmpl w:val="841E1C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1A5B35"/>
    <w:multiLevelType w:val="hybridMultilevel"/>
    <w:tmpl w:val="A3E078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BE52AA"/>
    <w:multiLevelType w:val="hybridMultilevel"/>
    <w:tmpl w:val="CE2CE9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E54B9"/>
    <w:multiLevelType w:val="hybridMultilevel"/>
    <w:tmpl w:val="8A52F2FA"/>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2" w15:restartNumberingAfterBreak="0">
    <w:nsid w:val="5A5C55BE"/>
    <w:multiLevelType w:val="hybridMultilevel"/>
    <w:tmpl w:val="85FEF9E4"/>
    <w:lvl w:ilvl="0" w:tplc="046E000F">
      <w:start w:val="1"/>
      <w:numFmt w:val="decimal"/>
      <w:lvlText w:val="%1."/>
      <w:lvlJc w:val="left"/>
      <w:pPr>
        <w:ind w:left="1440" w:hanging="360"/>
      </w:pPr>
    </w:lvl>
    <w:lvl w:ilvl="1" w:tplc="0409000F">
      <w:start w:val="1"/>
      <w:numFmt w:val="decimal"/>
      <w:lvlText w:val="%2."/>
      <w:lvlJc w:val="left"/>
      <w:pPr>
        <w:ind w:left="2160" w:hanging="360"/>
      </w:pPr>
    </w:lvl>
    <w:lvl w:ilvl="2" w:tplc="046E001B">
      <w:start w:val="1"/>
      <w:numFmt w:val="lowerRoman"/>
      <w:lvlText w:val="%3."/>
      <w:lvlJc w:val="right"/>
      <w:pPr>
        <w:ind w:left="2880" w:hanging="180"/>
      </w:pPr>
    </w:lvl>
    <w:lvl w:ilvl="3" w:tplc="046E000F">
      <w:start w:val="1"/>
      <w:numFmt w:val="decimal"/>
      <w:lvlText w:val="%4."/>
      <w:lvlJc w:val="left"/>
      <w:pPr>
        <w:ind w:left="3600" w:hanging="360"/>
      </w:pPr>
    </w:lvl>
    <w:lvl w:ilvl="4" w:tplc="046E0019">
      <w:start w:val="1"/>
      <w:numFmt w:val="lowerLetter"/>
      <w:lvlText w:val="%5."/>
      <w:lvlJc w:val="left"/>
      <w:pPr>
        <w:ind w:left="4320" w:hanging="360"/>
      </w:pPr>
    </w:lvl>
    <w:lvl w:ilvl="5" w:tplc="046E001B">
      <w:start w:val="1"/>
      <w:numFmt w:val="lowerRoman"/>
      <w:lvlText w:val="%6."/>
      <w:lvlJc w:val="right"/>
      <w:pPr>
        <w:ind w:left="5040" w:hanging="180"/>
      </w:pPr>
    </w:lvl>
    <w:lvl w:ilvl="6" w:tplc="046E000F">
      <w:start w:val="1"/>
      <w:numFmt w:val="decimal"/>
      <w:lvlText w:val="%7."/>
      <w:lvlJc w:val="left"/>
      <w:pPr>
        <w:ind w:left="5760" w:hanging="360"/>
      </w:pPr>
    </w:lvl>
    <w:lvl w:ilvl="7" w:tplc="046E0019">
      <w:start w:val="1"/>
      <w:numFmt w:val="lowerLetter"/>
      <w:lvlText w:val="%8."/>
      <w:lvlJc w:val="left"/>
      <w:pPr>
        <w:ind w:left="6480" w:hanging="360"/>
      </w:pPr>
    </w:lvl>
    <w:lvl w:ilvl="8" w:tplc="046E001B">
      <w:start w:val="1"/>
      <w:numFmt w:val="lowerRoman"/>
      <w:lvlText w:val="%9."/>
      <w:lvlJc w:val="right"/>
      <w:pPr>
        <w:ind w:left="7200" w:hanging="180"/>
      </w:pPr>
    </w:lvl>
  </w:abstractNum>
  <w:abstractNum w:abstractNumId="3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5E3361"/>
    <w:multiLevelType w:val="hybridMultilevel"/>
    <w:tmpl w:val="58AC5386"/>
    <w:lvl w:ilvl="0" w:tplc="0409000F">
      <w:start w:val="1"/>
      <w:numFmt w:val="decimal"/>
      <w:lvlText w:val="%1."/>
      <w:lvlJc w:val="left"/>
      <w:pPr>
        <w:ind w:left="720" w:hanging="360"/>
      </w:pPr>
    </w:lvl>
    <w:lvl w:ilvl="1" w:tplc="0409000F">
      <w:start w:val="1"/>
      <w:numFmt w:val="decimal"/>
      <w:lvlText w:val="%2."/>
      <w:lvlJc w:val="left"/>
      <w:pPr>
        <w:ind w:left="21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2381448">
    <w:abstractNumId w:val="19"/>
  </w:num>
  <w:num w:numId="2" w16cid:durableId="819998207">
    <w:abstractNumId w:val="29"/>
  </w:num>
  <w:num w:numId="3" w16cid:durableId="1239559048">
    <w:abstractNumId w:val="33"/>
  </w:num>
  <w:num w:numId="4" w16cid:durableId="235942744">
    <w:abstractNumId w:val="4"/>
  </w:num>
  <w:num w:numId="5" w16cid:durableId="1749036834">
    <w:abstractNumId w:val="5"/>
  </w:num>
  <w:num w:numId="6" w16cid:durableId="2101094885">
    <w:abstractNumId w:val="15"/>
  </w:num>
  <w:num w:numId="7" w16cid:durableId="2110470519">
    <w:abstractNumId w:val="8"/>
  </w:num>
  <w:num w:numId="8" w16cid:durableId="13845993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01115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3111405">
    <w:abstractNumId w:val="26"/>
  </w:num>
  <w:num w:numId="11" w16cid:durableId="14377526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23687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12121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91885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52444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03137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4448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31400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5494613">
    <w:abstractNumId w:val="12"/>
  </w:num>
  <w:num w:numId="20" w16cid:durableId="4636195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0423747">
    <w:abstractNumId w:val="13"/>
  </w:num>
  <w:num w:numId="22" w16cid:durableId="539324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43355103">
    <w:abstractNumId w:val="11"/>
  </w:num>
  <w:num w:numId="24" w16cid:durableId="279264181">
    <w:abstractNumId w:val="22"/>
  </w:num>
  <w:num w:numId="25" w16cid:durableId="400369029">
    <w:abstractNumId w:val="27"/>
  </w:num>
  <w:num w:numId="26" w16cid:durableId="911739058">
    <w:abstractNumId w:val="0"/>
  </w:num>
  <w:num w:numId="27" w16cid:durableId="660499210">
    <w:abstractNumId w:val="18"/>
  </w:num>
  <w:num w:numId="28" w16cid:durableId="1619532907">
    <w:abstractNumId w:val="34"/>
  </w:num>
  <w:num w:numId="29" w16cid:durableId="1496720672">
    <w:abstractNumId w:val="16"/>
  </w:num>
  <w:num w:numId="30" w16cid:durableId="1303657955">
    <w:abstractNumId w:val="9"/>
  </w:num>
  <w:num w:numId="31" w16cid:durableId="1462113755">
    <w:abstractNumId w:val="6"/>
  </w:num>
  <w:num w:numId="32" w16cid:durableId="975992444">
    <w:abstractNumId w:val="28"/>
  </w:num>
  <w:num w:numId="33" w16cid:durableId="1075905715">
    <w:abstractNumId w:val="2"/>
  </w:num>
  <w:num w:numId="34" w16cid:durableId="490490974">
    <w:abstractNumId w:val="30"/>
  </w:num>
  <w:num w:numId="35" w16cid:durableId="14328966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17638"/>
    <w:rsid w:val="0002112C"/>
    <w:rsid w:val="000529E4"/>
    <w:rsid w:val="001F5313"/>
    <w:rsid w:val="003558B5"/>
    <w:rsid w:val="00387019"/>
    <w:rsid w:val="0039622D"/>
    <w:rsid w:val="00397462"/>
    <w:rsid w:val="003A681A"/>
    <w:rsid w:val="005D1D9B"/>
    <w:rsid w:val="006605E2"/>
    <w:rsid w:val="006653E2"/>
    <w:rsid w:val="006B0ABB"/>
    <w:rsid w:val="00732511"/>
    <w:rsid w:val="007B41C9"/>
    <w:rsid w:val="007B5125"/>
    <w:rsid w:val="007D461A"/>
    <w:rsid w:val="008A46DB"/>
    <w:rsid w:val="00941C6B"/>
    <w:rsid w:val="009D6555"/>
    <w:rsid w:val="00A610F9"/>
    <w:rsid w:val="00AD5B20"/>
    <w:rsid w:val="00B11E93"/>
    <w:rsid w:val="00B208F3"/>
    <w:rsid w:val="00C10C63"/>
    <w:rsid w:val="00C829CD"/>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4056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2284</Words>
  <Characters>13023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2025-03-17T13:19:00Z</dcterms:modified>
</cp:coreProperties>
</file>