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9206C" w14:textId="77777777" w:rsidR="00AD0892" w:rsidRPr="00AD0892" w:rsidRDefault="00AD0892" w:rsidP="00AD0892">
      <w:pPr>
        <w:pStyle w:val="Heading1"/>
      </w:pPr>
      <w:r w:rsidRPr="00AD0892">
        <w:t>Art. 13 Zone spéciale - CFL [SPEC-CFL]</w:t>
      </w:r>
    </w:p>
    <w:p w14:paraId="0CDDAA47" w14:textId="77777777" w:rsidR="00AD0892" w:rsidRDefault="00AD0892" w:rsidP="00AD0892">
      <w:r>
        <w:t>La zone spéciale - CFL- est destinée à recevoir des emplacements de stationnement, des dépôts de chantier et des équipements techniques en relation directe avec la destination de la zone. Y sont également admis les constructions et aménagements d’utilité publique.</w:t>
      </w:r>
    </w:p>
    <w:p w14:paraId="745B8C28" w14:textId="26820CC2" w:rsidR="00B02EDC" w:rsidRDefault="00AD0892" w:rsidP="00AD0892">
      <w:r>
        <w:t>Seuls des constructions et aménagements légers en relation avec la vocation de la zone sont autorisés.</w:t>
      </w:r>
      <w:bookmarkStart w:id="0" w:name="_GoBack"/>
      <w:bookmarkEnd w:id="0"/>
    </w:p>
    <w:p w14:paraId="38FDEE07" w14:textId="00CD9028" w:rsidR="006605E2" w:rsidRDefault="00AD0892" w:rsidP="00AD0892">
      <w:r>
        <w:t>Les logements de service y sont interdits.</w:t>
      </w:r>
    </w:p>
    <w:p w14:paraId="0B7BD687" w14:textId="77777777" w:rsidR="002215BD" w:rsidRDefault="002215BD" w:rsidP="002215BD">
      <w:pPr>
        <w:pStyle w:val="Heading1"/>
      </w:pPr>
      <w:r>
        <w:t>Art. 17 Règles applicables à toutes les zones urbanisées</w:t>
      </w:r>
    </w:p>
    <w:p w14:paraId="28E1BDC1" w14:textId="77777777" w:rsidR="002215BD" w:rsidRDefault="002215BD" w:rsidP="002215BD">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691FEEC0" w14:textId="5545EBB7" w:rsidR="002215BD" w:rsidRPr="007D461A" w:rsidRDefault="002215BD" w:rsidP="00AD0892">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2215B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215BD"/>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0892"/>
    <w:rsid w:val="00AD5B20"/>
    <w:rsid w:val="00B02EDC"/>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4400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2024-01-08T07:15:00Z</dcterms:modified>
</cp:coreProperties>
</file>