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E2803" w14:textId="77777777" w:rsidR="00DD1531" w:rsidRDefault="00DD1531" w:rsidP="00DD1531">
      <w:pPr>
        <w:pStyle w:val="Heading1"/>
      </w:pPr>
      <w:r>
        <w:t>Art. 3 Zone mixte rurale [MIX-r]</w:t>
      </w:r>
    </w:p>
    <w:p w14:paraId="0271D083" w14:textId="77777777" w:rsidR="00DD1531" w:rsidRDefault="00DD1531" w:rsidP="00DD1531">
      <w:r>
        <w:t>La zone mixte rurale couvre les parties des localités à caractère rural. Elle est destinée aux exploitations agricoles, jardinières, maraîchères, apicoles ainsi qu’aux centres équestres.</w:t>
      </w:r>
    </w:p>
    <w:p w14:paraId="5BA5E23F" w14:textId="4FEAFBFD" w:rsidR="00260DEF" w:rsidRDefault="00DD1531" w:rsidP="00DD1531">
      <w: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p w14:paraId="59AEAE4E" w14:textId="77777777" w:rsidR="0049447C" w:rsidRDefault="0049447C" w:rsidP="0049447C">
      <w:pPr>
        <w:pStyle w:val="Heading1"/>
      </w:pPr>
      <w:r>
        <w:t>Art. 17 Règles applicables à toutes les zones urbanisées</w:t>
      </w:r>
    </w:p>
    <w:p w14:paraId="1D61CC2A" w14:textId="77777777" w:rsidR="0049447C" w:rsidRDefault="0049447C" w:rsidP="0049447C">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18F60250" w14:textId="5F5F3860" w:rsidR="0049447C" w:rsidRPr="007D461A" w:rsidRDefault="0049447C" w:rsidP="00DD1531">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49447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0DEF"/>
    <w:rsid w:val="00387019"/>
    <w:rsid w:val="0039622D"/>
    <w:rsid w:val="00397462"/>
    <w:rsid w:val="003A681A"/>
    <w:rsid w:val="0049447C"/>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D153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625933">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2024-01-08T07:12:00Z</dcterms:modified>
</cp:coreProperties>
</file>