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3D7DC" w14:textId="72F67078" w:rsidR="007C3B3B" w:rsidRPr="007C3B3B" w:rsidRDefault="00B97556" w:rsidP="007C3B3B">
      <w:pPr>
        <w:pStyle w:val="Heading1"/>
      </w:pPr>
      <w:r>
        <w:t>Art. 9 Zones de gares ferroviaires et routières (GARE)</w:t>
      </w:r>
      <w:bookmarkStart w:id="0" w:name="_GoBack"/>
      <w:bookmarkEnd w:id="0"/>
    </w:p>
    <w:p w14:paraId="38FDEE07" w14:textId="3EA3FDD7" w:rsidR="006605E2" w:rsidRPr="007D461A" w:rsidRDefault="00B97556" w:rsidP="00B97556">
      <w: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3B3B"/>
    <w:rsid w:val="007D461A"/>
    <w:rsid w:val="008A46DB"/>
    <w:rsid w:val="009D6555"/>
    <w:rsid w:val="00A610F9"/>
    <w:rsid w:val="00AD5B20"/>
    <w:rsid w:val="00B11E93"/>
    <w:rsid w:val="00B208F3"/>
    <w:rsid w:val="00B9755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2024-02-20T13:24:00Z</dcterms:modified>
</cp:coreProperties>
</file>