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0EEF0D" w14:textId="070A2FA9" w:rsidR="00E156FE" w:rsidRDefault="00E156FE" w:rsidP="00E156FE">
      <w:pPr>
        <w:pStyle w:val="Title"/>
      </w:pPr>
      <w:r>
        <w:t>G. Règles spécifiques applicables au PAP « quartier existant – zone d’activités économiques 1 » - (QE-ZA1) – « ZA Grousswiss »</w:t>
      </w:r>
    </w:p>
    <w:p w14:paraId="14991DAC" w14:textId="0A578B4C" w:rsidR="005C1F1A" w:rsidRPr="005C1F1A" w:rsidRDefault="00E156FE" w:rsidP="005C1F1A">
      <w:pPr>
        <w:pStyle w:val="Heading1"/>
      </w:pPr>
      <w:r>
        <w:t>Art. 28 Champ d’application</w:t>
      </w:r>
      <w:bookmarkStart w:id="0" w:name="_GoBack"/>
      <w:bookmarkEnd w:id="0"/>
    </w:p>
    <w:p w14:paraId="4E78F8B8" w14:textId="22652F23" w:rsidR="00E156FE" w:rsidRDefault="00E156FE" w:rsidP="00E156FE">
      <w:r>
        <w:t>Les délimitations du plan d’aménagement particulier « quartier existant – zone d’activités économiques1 » et de ses subdivisions sont fixées en partie graphique.</w:t>
      </w:r>
    </w:p>
    <w:p w14:paraId="11EA79D2" w14:textId="62508776" w:rsidR="00E156FE" w:rsidRDefault="00E156FE" w:rsidP="00E156FE">
      <w:pPr>
        <w:pStyle w:val="Heading1"/>
      </w:pPr>
      <w:r>
        <w:t>Art. 29 Type, disposition, implantation et gabarit des constructions</w:t>
      </w:r>
    </w:p>
    <w:p w14:paraId="6B5031FF" w14:textId="77777777" w:rsidR="00E156FE" w:rsidRDefault="00E156FE" w:rsidP="00E156FE">
      <w:r>
        <w:t>Les constructions projetées sont des constructions disposées en ordre non contigu.</w:t>
      </w:r>
    </w:p>
    <w:p w14:paraId="7E9AF320" w14:textId="5C76AB5D" w:rsidR="00E156FE" w:rsidRPr="00E156FE" w:rsidRDefault="00E156FE" w:rsidP="00E156FE">
      <w:pPr>
        <w:rPr>
          <w:u w:val="single"/>
        </w:rPr>
      </w:pPr>
      <w:r w:rsidRPr="00E156FE">
        <w:rPr>
          <w:u w:val="single"/>
        </w:rPr>
        <w:t>a. Reculs sur limites de propriété:</w:t>
      </w:r>
    </w:p>
    <w:p w14:paraId="196E1D9F" w14:textId="77777777" w:rsidR="00E156FE" w:rsidRDefault="00E156FE" w:rsidP="00E156FE">
      <w:pPr>
        <w:ind w:left="720"/>
      </w:pPr>
      <w:r>
        <w:t>Recul avant</w:t>
      </w:r>
    </w:p>
    <w:p w14:paraId="30730E24" w14:textId="77777777" w:rsidR="00E156FE" w:rsidRDefault="00E156FE" w:rsidP="00E156FE">
      <w:pPr>
        <w:ind w:left="1440"/>
      </w:pPr>
      <w:r>
        <w:t>Le recul de toute nouvelle construction par rapport à la limite avant de propriété est de 10,00m.</w:t>
      </w:r>
    </w:p>
    <w:p w14:paraId="48F24974" w14:textId="77777777" w:rsidR="00E156FE" w:rsidRDefault="00E156FE" w:rsidP="00E156FE">
      <w:pPr>
        <w:ind w:left="720"/>
      </w:pPr>
      <w:r>
        <w:t>Recul latéral</w:t>
      </w:r>
    </w:p>
    <w:p w14:paraId="0F0A6F1E" w14:textId="38ED2A9E" w:rsidR="00E156FE" w:rsidRDefault="00E156FE" w:rsidP="00E156FE">
      <w:pPr>
        <w:ind w:left="1440"/>
      </w:pPr>
      <w:r>
        <w:t>Le recul de toute nouvelle construction par rapport à la limite latérale de propriété est au minimum de 6,00m.</w:t>
      </w:r>
    </w:p>
    <w:p w14:paraId="1E558D2B" w14:textId="77777777" w:rsidR="00E156FE" w:rsidRDefault="00E156FE" w:rsidP="00E156FE">
      <w:pPr>
        <w:ind w:left="720"/>
      </w:pPr>
      <w:r>
        <w:t>Recul arrière</w:t>
      </w:r>
    </w:p>
    <w:p w14:paraId="53157819" w14:textId="77777777" w:rsidR="00E156FE" w:rsidRDefault="00E156FE" w:rsidP="00E156FE">
      <w:pPr>
        <w:ind w:left="1440"/>
      </w:pPr>
      <w:r>
        <w:t>Le recul des constructions sur la limite arrière de la parcelle est au minimum de 6,00m.</w:t>
      </w:r>
    </w:p>
    <w:p w14:paraId="79AD29E0" w14:textId="7FF1051E" w:rsidR="00E156FE" w:rsidRPr="00E156FE" w:rsidRDefault="00E156FE" w:rsidP="00E156FE">
      <w:pPr>
        <w:rPr>
          <w:u w:val="single"/>
        </w:rPr>
      </w:pPr>
      <w:r w:rsidRPr="00E156FE">
        <w:rPr>
          <w:u w:val="single"/>
        </w:rPr>
        <w:t>b. Co</w:t>
      </w:r>
      <w:r>
        <w:rPr>
          <w:u w:val="single"/>
        </w:rPr>
        <w:t>nstructions en seconde position</w:t>
      </w:r>
      <w:r w:rsidRPr="00E156FE">
        <w:rPr>
          <w:u w:val="single"/>
        </w:rPr>
        <w:t>:</w:t>
      </w:r>
    </w:p>
    <w:p w14:paraId="5A275072" w14:textId="29E03F6F" w:rsidR="00E156FE" w:rsidRDefault="00E156FE" w:rsidP="00E156FE">
      <w:pPr>
        <w:ind w:left="720"/>
      </w:pPr>
      <w:r>
        <w:t>Les constructions en seconde position sont admises pour autant qu’un accès minimal auxdits immeubles soit assuré, notamment pour les services de secours.</w:t>
      </w:r>
    </w:p>
    <w:p w14:paraId="31461D27" w14:textId="77777777" w:rsidR="00E156FE" w:rsidRPr="00E156FE" w:rsidRDefault="00E156FE" w:rsidP="00E156FE">
      <w:pPr>
        <w:rPr>
          <w:u w:val="single"/>
        </w:rPr>
      </w:pPr>
      <w:r w:rsidRPr="00E156FE">
        <w:rPr>
          <w:u w:val="single"/>
        </w:rPr>
        <w:t>c. Gabarit des constructions</w:t>
      </w:r>
    </w:p>
    <w:p w14:paraId="4CEAFD35" w14:textId="2DC3BAD5" w:rsidR="00E156FE" w:rsidRDefault="00E156FE" w:rsidP="00E156FE">
      <w:pPr>
        <w:ind w:left="720"/>
      </w:pPr>
      <w:r>
        <w:t>Le nombre de niveaux hors-sol des constructions projetées est limité à trois (3), soit 2 niveaux pleins et 1 étage en retrait. Les niveaux en sous-sol sont interdits, hors parcelles en (QE-ZA1a) pour lesquelles les sous-sols sont autorisés.</w:t>
      </w:r>
    </w:p>
    <w:p w14:paraId="6E00B43E" w14:textId="52260D14" w:rsidR="00E156FE" w:rsidRPr="00E156FE" w:rsidRDefault="00E156FE" w:rsidP="00E156FE">
      <w:pPr>
        <w:rPr>
          <w:u w:val="single"/>
        </w:rPr>
      </w:pPr>
      <w:r w:rsidRPr="00E156FE">
        <w:rPr>
          <w:u w:val="single"/>
        </w:rPr>
        <w:t>d. Hauteur des constructions:</w:t>
      </w:r>
    </w:p>
    <w:p w14:paraId="246B8637" w14:textId="77777777" w:rsidR="00E156FE" w:rsidRDefault="00E156FE" w:rsidP="00E156FE">
      <w:pPr>
        <w:ind w:left="720"/>
      </w:pPr>
      <w:r>
        <w:t>Les hauteurs admissibles des constructions aux acrotères inférieur et supérieur sont les suivantes:</w:t>
      </w:r>
    </w:p>
    <w:p w14:paraId="38FDEE07" w14:textId="4B8B68A2" w:rsidR="006605E2" w:rsidRDefault="00E156FE" w:rsidP="00E156FE">
      <w:pPr>
        <w:pStyle w:val="ListParagraph"/>
        <w:numPr>
          <w:ilvl w:val="0"/>
          <w:numId w:val="7"/>
        </w:numPr>
      </w:pPr>
      <w:r>
        <w:t>Pour les bureaux, administrations et commerces</w:t>
      </w:r>
    </w:p>
    <w:p w14:paraId="3E39EA1D" w14:textId="6C1C8875" w:rsidR="00E156FE" w:rsidRDefault="00E156FE" w:rsidP="00E156FE">
      <w:pPr>
        <w:jc w:val="center"/>
      </w:pPr>
      <w:r>
        <w:rPr>
          <w:noProof/>
          <w:lang w:val="lb-LU" w:eastAsia="lb-LU"/>
        </w:rPr>
        <w:lastRenderedPageBreak/>
        <w:drawing>
          <wp:inline distT="0" distB="0" distL="0" distR="0" wp14:anchorId="22698478" wp14:editId="450BADEF">
            <wp:extent cx="5286375" cy="16002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286375" cy="1600200"/>
                    </a:xfrm>
                    <a:prstGeom prst="rect">
                      <a:avLst/>
                    </a:prstGeom>
                  </pic:spPr>
                </pic:pic>
              </a:graphicData>
            </a:graphic>
          </wp:inline>
        </w:drawing>
      </w:r>
    </w:p>
    <w:p w14:paraId="1DABDA28" w14:textId="2C280BCF" w:rsidR="00E156FE" w:rsidRDefault="00E156FE" w:rsidP="00E156FE"/>
    <w:p w14:paraId="1759BC79" w14:textId="3544BB7C" w:rsidR="00E156FE" w:rsidRDefault="00E156FE" w:rsidP="00E156FE">
      <w:pPr>
        <w:pStyle w:val="ListParagraph"/>
        <w:numPr>
          <w:ilvl w:val="0"/>
          <w:numId w:val="7"/>
        </w:numPr>
      </w:pPr>
      <w:r w:rsidRPr="00E156FE">
        <w:t>Pour les établissements artisanaux</w:t>
      </w:r>
    </w:p>
    <w:p w14:paraId="28D9586B" w14:textId="409AFB5D" w:rsidR="00E156FE" w:rsidRDefault="00E156FE" w:rsidP="00E156FE">
      <w:pPr>
        <w:jc w:val="center"/>
      </w:pPr>
      <w:r>
        <w:rPr>
          <w:noProof/>
          <w:lang w:val="lb-LU" w:eastAsia="lb-LU"/>
        </w:rPr>
        <w:drawing>
          <wp:inline distT="0" distB="0" distL="0" distR="0" wp14:anchorId="4DD30139" wp14:editId="32E2C48C">
            <wp:extent cx="5305425" cy="17526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305425" cy="1752600"/>
                    </a:xfrm>
                    <a:prstGeom prst="rect">
                      <a:avLst/>
                    </a:prstGeom>
                  </pic:spPr>
                </pic:pic>
              </a:graphicData>
            </a:graphic>
          </wp:inline>
        </w:drawing>
      </w:r>
    </w:p>
    <w:p w14:paraId="14A9E3B9" w14:textId="0CD5F174" w:rsidR="00E156FE" w:rsidRDefault="00E156FE" w:rsidP="00E156FE"/>
    <w:p w14:paraId="62F0EA3B" w14:textId="3144D287" w:rsidR="00E156FE" w:rsidRDefault="00E156FE" w:rsidP="00E156FE">
      <w:pPr>
        <w:ind w:left="720"/>
      </w:pPr>
      <w:r>
        <w:t>Les hauteurs respectives des constructions sont à mesurer à partir du point de référence défini sur l’axe de la voie desservante.</w:t>
      </w:r>
    </w:p>
    <w:p w14:paraId="4F56BC1D" w14:textId="0C2F4AEA" w:rsidR="00E156FE" w:rsidRDefault="00E156FE" w:rsidP="00E156FE">
      <w:pPr>
        <w:pStyle w:val="Heading1"/>
      </w:pPr>
      <w:r>
        <w:t>Art. 30 Toitures</w:t>
      </w:r>
    </w:p>
    <w:p w14:paraId="4D7B86D7" w14:textId="77777777" w:rsidR="00E156FE" w:rsidRDefault="00E156FE" w:rsidP="00E156FE">
      <w:r>
        <w:t>Les constructions sont à couvrir de toitures plates ou de toitures à double versant (pente de 15° à 20°).</w:t>
      </w:r>
    </w:p>
    <w:p w14:paraId="2ECC63E5" w14:textId="4320F70C" w:rsidR="00E156FE" w:rsidRDefault="00E156FE" w:rsidP="00E156FE">
      <w:r>
        <w:t>Toute autre forme de toiture est proscrite (notamment les toitures à redents – toitures en sheds –, les toitures mansardées ou les toitures brisées).</w:t>
      </w:r>
    </w:p>
    <w:p w14:paraId="72211A63" w14:textId="77777777" w:rsidR="00E156FE" w:rsidRDefault="00E156FE" w:rsidP="00E156FE">
      <w:r>
        <w:t>Les ouvertures intégrées dans les plans de toiture, les lanterneaux ainsi que les atriums sont autorisés.</w:t>
      </w:r>
    </w:p>
    <w:p w14:paraId="03E1FC50" w14:textId="6FD4B85F" w:rsidR="00E156FE" w:rsidRDefault="00E156FE" w:rsidP="00E156FE">
      <w:r>
        <w:t>Les lanterneaux ne peuvent cependant dépasser le faîte de toiture de plus de 0,50 m et doivent en outre présenter des pentes de toiture identiques à la toiture principale de la construction.</w:t>
      </w:r>
    </w:p>
    <w:p w14:paraId="0F993127" w14:textId="77777777" w:rsidR="00E156FE" w:rsidRDefault="00E156FE" w:rsidP="00E156FE">
      <w:r>
        <w:t>Les toitures vertes sont autorisées.</w:t>
      </w:r>
    </w:p>
    <w:p w14:paraId="02FF5F77" w14:textId="1CB57190" w:rsidR="00E156FE" w:rsidRDefault="00E156FE" w:rsidP="00E156FE">
      <w:pPr>
        <w:pStyle w:val="Heading1"/>
      </w:pPr>
      <w:r>
        <w:t>Art. 31 Superstructures et infrastructures techniques</w:t>
      </w:r>
    </w:p>
    <w:p w14:paraId="19FE17D9" w14:textId="77777777" w:rsidR="00E156FE" w:rsidRDefault="00E156FE" w:rsidP="00E156FE">
      <w:r>
        <w:t>Les bâtiments seront pourvus d’une toiture de type toiture à acrotères.</w:t>
      </w:r>
    </w:p>
    <w:p w14:paraId="43E59B7A" w14:textId="5DD75ADA" w:rsidR="00E156FE" w:rsidRDefault="00E156FE" w:rsidP="00E156FE">
      <w:r>
        <w:t>Les infrastructures techniques, hors panneaux solaires et photovoltaïques, devront respecter:</w:t>
      </w:r>
    </w:p>
    <w:p w14:paraId="6C3C80E3" w14:textId="77777777" w:rsidR="00E156FE" w:rsidRDefault="00E156FE" w:rsidP="00E156FE">
      <w:pPr>
        <w:pStyle w:val="ListParagraph"/>
        <w:numPr>
          <w:ilvl w:val="0"/>
          <w:numId w:val="7"/>
        </w:numPr>
      </w:pPr>
      <w:r>
        <w:t>Un retrait de 5,00m par rapport à toutes les façades de la construction;</w:t>
      </w:r>
    </w:p>
    <w:p w14:paraId="7531D988" w14:textId="77777777" w:rsidR="00E156FE" w:rsidRDefault="00E156FE" w:rsidP="00E156FE">
      <w:pPr>
        <w:pStyle w:val="ListParagraph"/>
        <w:numPr>
          <w:ilvl w:val="0"/>
          <w:numId w:val="7"/>
        </w:numPr>
      </w:pPr>
      <w:r>
        <w:lastRenderedPageBreak/>
        <w:t>Une hauteur maximale de 2,50m;</w:t>
      </w:r>
    </w:p>
    <w:p w14:paraId="48CAF6AE" w14:textId="01A01427" w:rsidR="00E156FE" w:rsidRDefault="00E156FE" w:rsidP="00E156FE">
      <w:pPr>
        <w:pStyle w:val="ListParagraph"/>
        <w:numPr>
          <w:ilvl w:val="0"/>
          <w:numId w:val="7"/>
        </w:numPr>
      </w:pPr>
      <w:r>
        <w:t>Une emprise maximale de 10% de la surface totale de la toiture.</w:t>
      </w:r>
    </w:p>
    <w:p w14:paraId="2D663CAA" w14:textId="21A70B89" w:rsidR="00E156FE" w:rsidRDefault="00E156FE" w:rsidP="00E156FE">
      <w:r>
        <w:t>Les panneaux solaires et photovoltaïques, devront respecter:</w:t>
      </w:r>
    </w:p>
    <w:p w14:paraId="46321C3A" w14:textId="48BF1BA2" w:rsidR="00E156FE" w:rsidRDefault="00E156FE" w:rsidP="00E156FE">
      <w:pPr>
        <w:pStyle w:val="ListParagraph"/>
        <w:numPr>
          <w:ilvl w:val="0"/>
          <w:numId w:val="8"/>
        </w:numPr>
      </w:pPr>
      <w:r>
        <w:t>Une hauteur maximale de 1,50m.</w:t>
      </w:r>
    </w:p>
    <w:p w14:paraId="0B71A814" w14:textId="4A7C1ADB" w:rsidR="00E156FE" w:rsidRDefault="00E156FE" w:rsidP="00E156FE">
      <w:pPr>
        <w:pStyle w:val="Heading1"/>
      </w:pPr>
      <w:r>
        <w:t>Art. 32 Matériaux et couleurs</w:t>
      </w:r>
    </w:p>
    <w:p w14:paraId="2249B3ED" w14:textId="77777777" w:rsidR="00E156FE" w:rsidRDefault="00E156FE" w:rsidP="00E156FE">
      <w:r>
        <w:t>Les teintes criardes sont à éviter aussi bien pour les façades que pour les murs et clôtures.</w:t>
      </w:r>
    </w:p>
    <w:p w14:paraId="00884878" w14:textId="41E00D6D" w:rsidR="00E156FE" w:rsidRDefault="00E156FE" w:rsidP="00E156FE">
      <w:pPr>
        <w:pStyle w:val="Heading1"/>
      </w:pPr>
      <w:r>
        <w:t>Art. 33 Aménagement de la zone et des parcelles</w:t>
      </w:r>
    </w:p>
    <w:p w14:paraId="0750CE02" w14:textId="77777777" w:rsidR="00E156FE" w:rsidRPr="00E156FE" w:rsidRDefault="00E156FE" w:rsidP="00E156FE">
      <w:pPr>
        <w:rPr>
          <w:u w:val="single"/>
        </w:rPr>
      </w:pPr>
      <w:r w:rsidRPr="00E156FE">
        <w:rPr>
          <w:u w:val="single"/>
        </w:rPr>
        <w:t>a. Murs et clôtures</w:t>
      </w:r>
    </w:p>
    <w:p w14:paraId="069C961B" w14:textId="4B6FEA29" w:rsidR="00E156FE" w:rsidRDefault="00E156FE" w:rsidP="00E156FE">
      <w:pPr>
        <w:ind w:left="720"/>
      </w:pPr>
      <w:r>
        <w:t>La hauteur des murs est limitée à 0,80m</w:t>
      </w:r>
    </w:p>
    <w:p w14:paraId="57A926ED" w14:textId="660F1471" w:rsidR="00E156FE" w:rsidRDefault="00E156FE" w:rsidP="00E156FE">
      <w:pPr>
        <w:ind w:left="720"/>
      </w:pPr>
      <w:r>
        <w:t>Les limites des lots pourront être ceintes de clôtures ou par une combinaison d’un mur et d’une clôture d’une hauteur maximale de 2,50m par rapport au terrain aménagé. Dans tous les cas, ils devront être érigés sur la limite de propriété longeant la chaussée, directement derrière la file de pavés du trottoir.</w:t>
      </w:r>
    </w:p>
    <w:p w14:paraId="0F472798" w14:textId="77777777" w:rsidR="00E156FE" w:rsidRPr="00E156FE" w:rsidRDefault="00E156FE" w:rsidP="00E156FE">
      <w:pPr>
        <w:rPr>
          <w:u w:val="single"/>
        </w:rPr>
      </w:pPr>
      <w:r w:rsidRPr="00E156FE">
        <w:rPr>
          <w:u w:val="single"/>
        </w:rPr>
        <w:t>b. Annexes et dépôts</w:t>
      </w:r>
    </w:p>
    <w:p w14:paraId="1F76FF63" w14:textId="37C6AF5C" w:rsidR="00E156FE" w:rsidRPr="007D461A" w:rsidRDefault="00E156FE" w:rsidP="00E156FE">
      <w:pPr>
        <w:ind w:left="720"/>
      </w:pPr>
      <w:r>
        <w:t>Les annexes et dépôts destinés au stockage ne sont autorisés qu’à l’arrière des bâtiments.</w:t>
      </w:r>
    </w:p>
    <w:sectPr w:rsidR="00E156F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C080635"/>
    <w:multiLevelType w:val="hybridMultilevel"/>
    <w:tmpl w:val="36CE0E06"/>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935732"/>
    <w:multiLevelType w:val="hybridMultilevel"/>
    <w:tmpl w:val="DE9E08AA"/>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0"/>
  </w:num>
  <w:num w:numId="5">
    <w:abstractNumId w:val="1"/>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C1F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156FE"/>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506</Words>
  <Characters>2889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2024-02-20T13:25:00Z</dcterms:modified>
</cp:coreProperties>
</file>