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407E6" w14:textId="5DFD544B" w:rsidR="00801789" w:rsidRPr="00801789" w:rsidRDefault="00213356" w:rsidP="00801789">
      <w:pPr>
        <w:pStyle w:val="Title"/>
      </w:pPr>
      <w:r>
        <w:t>Eléments complémentaires</w:t>
      </w:r>
      <w:bookmarkStart w:id="0" w:name="_GoBack"/>
      <w:bookmarkEnd w:id="0"/>
    </w:p>
    <w:p w14:paraId="2DCBF039" w14:textId="141C8BCC" w:rsidR="00213356" w:rsidRDefault="00213356" w:rsidP="00213356">
      <w:r>
        <w:t>Des éléments complémentaires au PAG sont présentés sur la partie graphique du PAG à titre indicatif et, le cas échéant, non exhaustif:</w:t>
      </w:r>
    </w:p>
    <w:p w14:paraId="03CB8E42" w14:textId="082CF4E5" w:rsidR="00213356" w:rsidRPr="00213356" w:rsidRDefault="00213356" w:rsidP="00213356">
      <w:pPr>
        <w:rPr>
          <w:b/>
          <w:u w:val="single"/>
        </w:rPr>
      </w:pPr>
      <w:r w:rsidRPr="00213356">
        <w:rPr>
          <w:b/>
          <w:u w:val="single"/>
        </w:rPr>
        <w:t>Zones soumises aux dispositio</w:t>
      </w:r>
      <w:r>
        <w:rPr>
          <w:b/>
          <w:u w:val="single"/>
        </w:rPr>
        <w:t>ns de l’art.17 et/</w:t>
      </w:r>
      <w:r w:rsidRPr="00213356">
        <w:rPr>
          <w:b/>
          <w:u w:val="single"/>
        </w:rPr>
        <w:t>ou art.21 (loi du 18.07.2018)</w:t>
      </w:r>
    </w:p>
    <w:p w14:paraId="79DECCA3" w14:textId="77777777" w:rsidR="00213356" w:rsidRDefault="00213356" w:rsidP="00213356">
      <w:pPr>
        <w:ind w:left="720"/>
      </w:pPr>
      <w:r>
        <w:t>Sont représentés sous cette trame, en relation avec la loi du 18 juillet 2018 concernant la protection de la nature et des ressources naturelles:</w:t>
      </w:r>
    </w:p>
    <w:p w14:paraId="67AD5484" w14:textId="77777777" w:rsidR="00213356" w:rsidRDefault="00213356" w:rsidP="00213356">
      <w:pPr>
        <w:pStyle w:val="ListParagraph"/>
        <w:numPr>
          <w:ilvl w:val="0"/>
          <w:numId w:val="7"/>
        </w:numPr>
      </w:pPr>
      <w:r>
        <w:t>des habitats relevant de l’art.17 de ladite loi (S17) – c'est-à-dire, les habitats d’intérêt communautaire ainsi que les habitats d’espèces d’intérêt communautaire pour lesquelles l’état de conservation des espèces a été évalué non favorable – et pour lesquels toute réduction, destruction ou détérioration est interdite. Un règlement grand-ducal précise les mesures à considérer comme une réduction, une destruction ou une détérioration des habitats ici visés; exceptionnellement, le Ministre ayant l’environnement dans ses fonctions pourra déroger à ces interdictions pour des motifs d’intérêt général et imposera le cas échéant des mesures compensatoires.</w:t>
      </w:r>
    </w:p>
    <w:p w14:paraId="38FDEE07" w14:textId="3A36BCCF" w:rsidR="006605E2" w:rsidRDefault="00213356" w:rsidP="00A9551E">
      <w:pPr>
        <w:pStyle w:val="ListParagraph"/>
        <w:numPr>
          <w:ilvl w:val="0"/>
          <w:numId w:val="7"/>
        </w:numPr>
      </w:pPr>
      <w:r>
        <w:t>des habitats relevant de l’art.21 de ladite loi (S21) – c'est-à-dire, les habitats d’espèces animales protégées particulièrement – et pour lesquels toute détérioration ou destruction est interdit.</w:t>
      </w:r>
    </w:p>
    <w:p w14:paraId="60F61741" w14:textId="221259FF" w:rsidR="006B43FA" w:rsidRPr="007D461A" w:rsidRDefault="006B43FA" w:rsidP="006B43FA">
      <w:pPr>
        <w:ind w:left="720"/>
      </w:pPr>
      <w:r w:rsidRPr="006B43FA">
        <w:t>Pour plus d’informations, voir dossier SUP + loi du 18.07.2018 et règlements d’exécution.</w:t>
      </w:r>
    </w:p>
    <w:sectPr w:rsidR="006B43F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C6592"/>
    <w:multiLevelType w:val="hybridMultilevel"/>
    <w:tmpl w:val="B352CA5C"/>
    <w:lvl w:ilvl="0" w:tplc="046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13356"/>
    <w:rsid w:val="00387019"/>
    <w:rsid w:val="0039622D"/>
    <w:rsid w:val="00397462"/>
    <w:rsid w:val="003A681A"/>
    <w:rsid w:val="005D1D9B"/>
    <w:rsid w:val="006605E2"/>
    <w:rsid w:val="006653E2"/>
    <w:rsid w:val="006B0ABB"/>
    <w:rsid w:val="006B43FA"/>
    <w:rsid w:val="00732511"/>
    <w:rsid w:val="007B41C9"/>
    <w:rsid w:val="007B5125"/>
    <w:rsid w:val="007D461A"/>
    <w:rsid w:val="00801789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2024-02-20T13:24:00Z</dcterms:modified>
</cp:coreProperties>
</file>