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AE2FB" w14:textId="77777777" w:rsidR="00BD2E2C" w:rsidRDefault="00BD2E2C" w:rsidP="00BD2E2C">
      <w:pPr>
        <w:pStyle w:val="Heading1"/>
        <w:rPr>
          <w:lang w:val="fr-FR"/>
        </w:rPr>
      </w:pPr>
      <w:r w:rsidRPr="00BD2E2C">
        <w:rPr>
          <w:lang w:val="fr-FR"/>
        </w:rPr>
        <w:t>Art.12 Catégories</w:t>
      </w:r>
    </w:p>
    <w:p w14:paraId="5F1C824C" w14:textId="0A14D362" w:rsidR="00BD2E2C" w:rsidRPr="00BD2E2C" w:rsidRDefault="00BD2E2C" w:rsidP="00BD2E2C">
      <w:pPr>
        <w:rPr>
          <w:lang w:val="fr-FR"/>
        </w:rPr>
      </w:pPr>
      <w:r w:rsidRPr="00BD2E2C">
        <w:rPr>
          <w:lang w:val="fr-FR"/>
        </w:rPr>
        <w:t>Les zones destin</w:t>
      </w:r>
      <w:r w:rsidR="00306C6C">
        <w:rPr>
          <w:lang w:val="fr-FR"/>
        </w:rPr>
        <w:t>ées à rester libres comprennent</w:t>
      </w:r>
      <w:r w:rsidRPr="00BD2E2C">
        <w:rPr>
          <w:lang w:val="fr-FR"/>
        </w:rPr>
        <w:t>:</w:t>
      </w:r>
    </w:p>
    <w:p w14:paraId="63BF7426" w14:textId="68E018DB"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agricoles;</w:t>
      </w:r>
    </w:p>
    <w:p w14:paraId="42D7CE24" w14:textId="78268629"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forestières;</w:t>
      </w:r>
    </w:p>
    <w:p w14:paraId="6C0C09FA" w14:textId="7B856AE8" w:rsidR="00BD2E2C" w:rsidRPr="00BD2E2C" w:rsidRDefault="00BD2E2C" w:rsidP="00BD2E2C">
      <w:pPr>
        <w:pStyle w:val="ListParagraph"/>
        <w:numPr>
          <w:ilvl w:val="0"/>
          <w:numId w:val="8"/>
        </w:numPr>
        <w:rPr>
          <w:lang w:val="fr-FR"/>
        </w:rPr>
      </w:pPr>
      <w:proofErr w:type="gramStart"/>
      <w:r w:rsidRPr="00BD2E2C">
        <w:rPr>
          <w:lang w:val="fr-FR"/>
        </w:rPr>
        <w:t>les</w:t>
      </w:r>
      <w:proofErr w:type="gramEnd"/>
      <w:r w:rsidRPr="00BD2E2C">
        <w:rPr>
          <w:lang w:val="fr-FR"/>
        </w:rPr>
        <w:t xml:space="preserve"> zones de verdure.</w:t>
      </w:r>
    </w:p>
    <w:p w14:paraId="24E79FED" w14:textId="77777777" w:rsidR="00BD2E2C" w:rsidRPr="00BD2E2C" w:rsidRDefault="00BD2E2C" w:rsidP="00BD2E2C">
      <w:pPr>
        <w:rPr>
          <w:lang w:val="fr-FR"/>
        </w:rPr>
      </w:pPr>
      <w:r w:rsidRPr="00BD2E2C">
        <w:rPr>
          <w:lang w:val="fr-FR"/>
        </w:rPr>
        <w:t>Ces zones constituent des zones vertes au sens de la législation en vigueur concernant la protection de la nature et des ressources naturelles.</w:t>
      </w:r>
    </w:p>
    <w:p w14:paraId="64EF1459" w14:textId="77777777" w:rsidR="00BD2E2C" w:rsidRPr="00BD2E2C" w:rsidRDefault="00BD2E2C" w:rsidP="00BD2E2C">
      <w:pPr>
        <w:rPr>
          <w:lang w:val="fr-FR"/>
        </w:rPr>
      </w:pPr>
      <w:r w:rsidRPr="00BD2E2C">
        <w:rPr>
          <w:lang w:val="fr-FR"/>
        </w:rP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790F0281" w14:textId="5BFDFA7E" w:rsidR="00BD2E2C" w:rsidRDefault="00BD2E2C" w:rsidP="00BD2E2C">
      <w:pPr>
        <w:rPr>
          <w:lang w:val="fr-FR"/>
        </w:rPr>
      </w:pPr>
      <w:r w:rsidRPr="00BD2E2C">
        <w:rPr>
          <w:lang w:val="fr-FR"/>
        </w:rPr>
        <w:t>Les dispositions de</w:t>
      </w:r>
      <w:r>
        <w:rPr>
          <w:lang w:val="fr-FR"/>
        </w:rPr>
        <w:t>s</w:t>
      </w:r>
      <w:r w:rsidRPr="00BD2E2C">
        <w:rPr>
          <w:lang w:val="fr-FR"/>
        </w:rPr>
        <w:t xml:space="preserve"> art</w:t>
      </w:r>
      <w:r>
        <w:rPr>
          <w:lang w:val="fr-FR"/>
        </w:rPr>
        <w:t>.</w:t>
      </w:r>
      <w:r w:rsidRPr="00BD2E2C">
        <w:rPr>
          <w:lang w:val="fr-FR"/>
        </w:rPr>
        <w:t xml:space="preserve"> 13, art. 14</w:t>
      </w:r>
      <w:r>
        <w:rPr>
          <w:lang w:val="fr-FR"/>
        </w:rPr>
        <w:t xml:space="preserve"> </w:t>
      </w:r>
      <w:r w:rsidRPr="00BD2E2C">
        <w:rPr>
          <w:lang w:val="fr-FR"/>
        </w:rPr>
        <w:t>et art.</w:t>
      </w:r>
      <w:r w:rsidR="00306C6C">
        <w:rPr>
          <w:lang w:val="fr-FR"/>
        </w:rPr>
        <w:t xml:space="preserve"> </w:t>
      </w:r>
      <w:r w:rsidRPr="00BD2E2C">
        <w:rPr>
          <w:lang w:val="fr-FR"/>
        </w:rPr>
        <w:t>15 sont applicables sans porter préjudice à la législation en vigueur concernant la protection de la nature et des ressources naturelles.</w:t>
      </w:r>
    </w:p>
    <w:p w14:paraId="6252A979" w14:textId="77777777" w:rsidR="00BD2E2C" w:rsidRDefault="00BD2E2C" w:rsidP="00397462">
      <w:pPr>
        <w:rPr>
          <w:lang w:val="fr-FR"/>
        </w:rPr>
      </w:pPr>
    </w:p>
    <w:p w14:paraId="029A1E8A" w14:textId="77777777" w:rsidR="00BD2E2C" w:rsidRDefault="00BD2E2C" w:rsidP="00BD2E2C">
      <w:pPr>
        <w:pStyle w:val="Heading1"/>
        <w:rPr>
          <w:lang w:val="fr-FR"/>
        </w:rPr>
      </w:pPr>
      <w:r w:rsidRPr="00BD2E2C">
        <w:rPr>
          <w:lang w:val="fr-FR"/>
        </w:rPr>
        <w:t>Art. 13 Zones agricoles (AGR)</w:t>
      </w:r>
    </w:p>
    <w:p w14:paraId="5DF873D9" w14:textId="77777777" w:rsidR="00BD2E2C" w:rsidRPr="00BD2E2C" w:rsidRDefault="00BD2E2C" w:rsidP="00BD2E2C">
      <w:pPr>
        <w:rPr>
          <w:lang w:val="fr-FR"/>
        </w:rPr>
      </w:pPr>
      <w:r w:rsidRPr="00BD2E2C">
        <w:rPr>
          <w:lang w:val="fr-FR"/>
        </w:rPr>
        <w:t>Les zones agricoles sont destinées à l’agriculture au sens général du terme.</w:t>
      </w:r>
    </w:p>
    <w:p w14:paraId="1F813D47" w14:textId="77777777" w:rsidR="00BD2E2C" w:rsidRPr="00BD2E2C" w:rsidRDefault="00BD2E2C" w:rsidP="00BD2E2C">
      <w:pPr>
        <w:rPr>
          <w:lang w:val="fr-FR"/>
        </w:rPr>
      </w:pPr>
      <w:r w:rsidRPr="00BD2E2C">
        <w:rPr>
          <w:lang w:val="fr-FR"/>
        </w:rPr>
        <w:t>Seuls sont autorisés des constructions et aménagements servant à l’exploitation agricole, jardinière, maraîchère, sylvicole, viticole, piscicole, apicole ou cynégétique, à un but d’utilité publique, aux installations de transport, de communication et de télécommunication ainsi qu’aux installations de production d’énergie renouvelable, aux conduites d’énergie, de liquide ou de gaz.</w:t>
      </w:r>
    </w:p>
    <w:p w14:paraId="3C18806B" w14:textId="77777777" w:rsidR="00BD2E2C" w:rsidRPr="00BD2E2C" w:rsidRDefault="00BD2E2C" w:rsidP="00BD2E2C">
      <w:pPr>
        <w:rPr>
          <w:lang w:val="fr-FR"/>
        </w:rPr>
      </w:pPr>
      <w:r w:rsidRPr="00BD2E2C">
        <w:rPr>
          <w:lang w:val="fr-FR"/>
        </w:rPr>
        <w:t>Une autorisation de bâtir ne pourra être délivrée par le bourgmestre que si les conditions suivantes sont remplies :</w:t>
      </w:r>
    </w:p>
    <w:p w14:paraId="1303687C" w14:textId="0964736B" w:rsidR="00BD2E2C" w:rsidRPr="00BD2E2C" w:rsidRDefault="00BD2E2C" w:rsidP="00BD2E2C">
      <w:pPr>
        <w:pStyle w:val="ListParagraph"/>
        <w:numPr>
          <w:ilvl w:val="0"/>
          <w:numId w:val="9"/>
        </w:numPr>
        <w:rPr>
          <w:lang w:val="fr-FR"/>
        </w:rPr>
      </w:pPr>
      <w:r w:rsidRPr="00BD2E2C">
        <w:rPr>
          <w:lang w:val="fr-FR"/>
        </w:rPr>
        <w:t>La parcelle devant accueillir la construction doit être desservie par des voies publiques ou privées, dans des conditions répondant à l’importance et à la destination de la construction ou de l’ensemble de constructions implantées, notamment en ce qui concerne la commodité des circulations et accès.</w:t>
      </w:r>
    </w:p>
    <w:p w14:paraId="04CC07D6" w14:textId="0D3473BF" w:rsidR="00BD2E2C" w:rsidRPr="00BD2E2C" w:rsidRDefault="00BD2E2C" w:rsidP="00BD2E2C">
      <w:pPr>
        <w:pStyle w:val="ListParagraph"/>
        <w:numPr>
          <w:ilvl w:val="0"/>
          <w:numId w:val="9"/>
        </w:numPr>
        <w:rPr>
          <w:lang w:val="fr-FR"/>
        </w:rPr>
      </w:pPr>
      <w:r w:rsidRPr="00BD2E2C">
        <w:rPr>
          <w:lang w:val="fr-FR"/>
        </w:rPr>
        <w:t>Les constructions d’habitation doivent être desservies par le réseau d’eau potable, le réseau de canalisation et le réseau d’électricité par le biais d’un raccordement, étant entendu que les frais de raccordement sont à la charge du demandeur de l’autorisation. Si les raccordements s’avèrent techniquement impossibles à réaliser, une solution de rechange doit être proposée par le maître d’ouvrage et approuvée par les autorités compétentes.</w:t>
      </w:r>
    </w:p>
    <w:p w14:paraId="20DA7173" w14:textId="3E6AFD8E" w:rsidR="00BD2E2C" w:rsidRDefault="00BD2E2C" w:rsidP="00BD2E2C">
      <w:pPr>
        <w:rPr>
          <w:lang w:val="fr-FR"/>
        </w:rPr>
      </w:pPr>
      <w:r w:rsidRPr="00BD2E2C">
        <w:rPr>
          <w:lang w:val="fr-FR"/>
        </w:rPr>
        <w:lastRenderedPageBreak/>
        <w:t xml:space="preserve">Toutes les constructions réalisées en </w:t>
      </w:r>
      <w:r w:rsidR="00306C6C">
        <w:rPr>
          <w:lang w:val="fr-FR"/>
        </w:rPr>
        <w:t>« </w:t>
      </w:r>
      <w:r w:rsidRPr="00BD2E2C">
        <w:rPr>
          <w:lang w:val="fr-FR"/>
        </w:rPr>
        <w:t>zone agricole</w:t>
      </w:r>
      <w:r w:rsidR="00306C6C">
        <w:rPr>
          <w:lang w:val="fr-FR"/>
        </w:rPr>
        <w:t> »</w:t>
      </w:r>
      <w:bookmarkStart w:id="0" w:name="_GoBack"/>
      <w:bookmarkEnd w:id="0"/>
      <w:r w:rsidRPr="00BD2E2C">
        <w:rPr>
          <w:lang w:val="fr-FR"/>
        </w:rPr>
        <w:t xml:space="preserve"> sont caractérisées par des volumes simples et des matériaux de structure et de teinte sobre. Les aménagements extérieurs sont à concevoir dans un esprit d’intégration au paysage.</w:t>
      </w:r>
    </w:p>
    <w:sectPr w:rsidR="00BD2E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478CD"/>
    <w:multiLevelType w:val="hybridMultilevel"/>
    <w:tmpl w:val="90C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AB0ECF"/>
    <w:multiLevelType w:val="hybridMultilevel"/>
    <w:tmpl w:val="60900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5D431A"/>
    <w:multiLevelType w:val="hybridMultilevel"/>
    <w:tmpl w:val="0AF0E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0"/>
  </w:num>
  <w:num w:numId="5">
    <w:abstractNumId w:val="1"/>
  </w:num>
  <w:num w:numId="6">
    <w:abstractNumId w:val="3"/>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06C6C"/>
    <w:rsid w:val="00387019"/>
    <w:rsid w:val="0039622D"/>
    <w:rsid w:val="00397462"/>
    <w:rsid w:val="00451310"/>
    <w:rsid w:val="006605E2"/>
    <w:rsid w:val="006653E2"/>
    <w:rsid w:val="00732511"/>
    <w:rsid w:val="007B41C9"/>
    <w:rsid w:val="007B5125"/>
    <w:rsid w:val="008A46DB"/>
    <w:rsid w:val="009D6555"/>
    <w:rsid w:val="00A610F9"/>
    <w:rsid w:val="00AD5B20"/>
    <w:rsid w:val="00B208F3"/>
    <w:rsid w:val="00BD2E2C"/>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2020-09-18T09:08:00Z</dcterms:modified>
</cp:coreProperties>
</file>