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068" w:rsidRPr="00006C7B" w:rsidRDefault="009E3F92" w:rsidP="008A2154">
      <w:pPr>
        <w:pStyle w:val="Titre1"/>
      </w:pPr>
      <w:bookmarkStart w:id="0" w:name="_Toc339026631"/>
      <w:bookmarkStart w:id="1" w:name="_Toc453678595"/>
      <w:bookmarkStart w:id="2" w:name="_Toc477870313"/>
      <w:r>
        <w:t>Art. 1</w:t>
      </w:r>
      <w:r w:rsidR="005B7704">
        <w:t>8</w:t>
      </w:r>
      <w:r>
        <w:tab/>
      </w:r>
      <w:r w:rsidR="00F64068">
        <w:t>S</w:t>
      </w:r>
      <w:r w:rsidR="00F64068" w:rsidRPr="00006C7B">
        <w:t>ecteur protégé</w:t>
      </w:r>
      <w:r w:rsidR="00F64068">
        <w:t xml:space="preserve"> d’intérêt communal</w:t>
      </w:r>
      <w:r w:rsidR="00F64068" w:rsidRPr="00006C7B">
        <w:t xml:space="preserve"> de type «</w:t>
      </w:r>
      <w:r w:rsidR="00F64068">
        <w:t> </w:t>
      </w:r>
      <w:r w:rsidR="00F64068" w:rsidRPr="00006C7B">
        <w:t>environnement construit – C »</w:t>
      </w:r>
      <w:bookmarkEnd w:id="0"/>
      <w:bookmarkEnd w:id="1"/>
      <w:bookmarkEnd w:id="2"/>
    </w:p>
    <w:p w:rsidR="00F64068" w:rsidRPr="008A2154" w:rsidRDefault="009E3F92" w:rsidP="008A2154">
      <w:pPr>
        <w:pStyle w:val="Titre3"/>
      </w:pPr>
      <w:bookmarkStart w:id="3" w:name="_Toc317770332"/>
      <w:bookmarkStart w:id="4" w:name="_Toc339026633"/>
      <w:r>
        <w:t>1</w:t>
      </w:r>
      <w:r w:rsidR="005B7704">
        <w:t>8</w:t>
      </w:r>
      <w:r>
        <w:t>.1</w:t>
      </w:r>
      <w:r>
        <w:tab/>
      </w:r>
      <w:r w:rsidR="00F64068" w:rsidRPr="008A2154">
        <w:t>Définition</w:t>
      </w:r>
    </w:p>
    <w:p w:rsidR="009E3F92" w:rsidRPr="009E3F92" w:rsidRDefault="009E3F92" w:rsidP="009E3F92">
      <w:pPr>
        <w:rPr>
          <w:lang w:val="fr-FR"/>
        </w:rPr>
      </w:pPr>
      <w:r w:rsidRPr="009E3F92">
        <w:rPr>
          <w:lang w:val="fr-FR"/>
        </w:rPr>
        <w:t>Les secteurs protégés d’intérêt communal de type « environnement construit – C » constituent les parties du territoire communal qui comprennent des immeubles ou parties d’immeubles à protéger, répondant à un ou plusieurs des critères suivants: authenticité de la substance bâtie, de son aménagement, rareté, exemplarité du type de bâtiment, importance architecturale, témoignage de l’immeuble pour l’histoire nationale, locale, sociale, politique, religieuse, militaire, technique ou industrielle.</w:t>
      </w:r>
    </w:p>
    <w:p w:rsidR="009E3F92" w:rsidRPr="009E3F92" w:rsidRDefault="009E3F92" w:rsidP="009E3F92">
      <w:pPr>
        <w:rPr>
          <w:rFonts w:cs="Arial"/>
          <w:szCs w:val="20"/>
          <w:u w:color="0070C0"/>
          <w:lang w:val="fr-FR"/>
        </w:rPr>
      </w:pPr>
      <w:r w:rsidRPr="009E3F92">
        <w:rPr>
          <w:lang w:val="fr-FR"/>
        </w:rPr>
        <w:t xml:space="preserve">Les secteurs protégés de type « environnement construit » sont marqués de la surimpression «C». </w:t>
      </w:r>
      <w:r w:rsidRPr="009E3F92">
        <w:rPr>
          <w:rFonts w:cs="Arial"/>
          <w:szCs w:val="20"/>
          <w:lang w:val="fr-FR"/>
        </w:rPr>
        <w:t xml:space="preserve">Ces secteurs sont soumis à des servitudes spéciales de sauvegarde et de protection </w:t>
      </w:r>
      <w:r w:rsidRPr="009E3F92">
        <w:rPr>
          <w:rFonts w:cs="Arial"/>
          <w:szCs w:val="20"/>
          <w:u w:color="0070C0"/>
          <w:lang w:val="fr-FR"/>
        </w:rPr>
        <w:t xml:space="preserve">définies dans le présent article ainsi que dans la partie écrite des parties des PAP </w:t>
      </w:r>
      <w:r w:rsidRPr="009E3F92">
        <w:rPr>
          <w:rFonts w:cs="Arial"/>
          <w:szCs w:val="20"/>
          <w:lang w:val="fr-FR"/>
        </w:rPr>
        <w:t>« quartiers existants</w:t>
      </w:r>
      <w:r w:rsidRPr="009E3F92">
        <w:rPr>
          <w:rFonts w:cs="Arial"/>
          <w:szCs w:val="20"/>
          <w:u w:color="0070C0"/>
          <w:lang w:val="fr-FR"/>
        </w:rPr>
        <w:t> ».</w:t>
      </w:r>
    </w:p>
    <w:p w:rsidR="009E3F92" w:rsidRPr="009E3F92" w:rsidRDefault="009E3F92" w:rsidP="009E3F92">
      <w:pPr>
        <w:rPr>
          <w:rFonts w:cs="Arial"/>
          <w:szCs w:val="20"/>
          <w:lang w:val="fr-FR"/>
        </w:rPr>
      </w:pPr>
      <w:r w:rsidRPr="009E3F92">
        <w:rPr>
          <w:rFonts w:cs="Arial"/>
          <w:szCs w:val="20"/>
          <w:u w:color="0070C0"/>
          <w:lang w:val="fr-FR"/>
        </w:rPr>
        <w:t xml:space="preserve">En complément des </w:t>
      </w:r>
      <w:r w:rsidRPr="009E3F92">
        <w:rPr>
          <w:rFonts w:cs="Arial"/>
          <w:szCs w:val="20"/>
          <w:lang w:val="fr-FR"/>
        </w:rPr>
        <w:t xml:space="preserve">secteurs protégés d’intérêt communal, des immeubles classés monument national ou inscrits à l’inventaire supplémentaire, soumis aux dispositions de la loi du 18 juillet 1983 concernant la conservation et la protection des sites et monuments nationaux, </w:t>
      </w:r>
      <w:r w:rsidRPr="009E3F92">
        <w:rPr>
          <w:rFonts w:cs="Arial"/>
          <w:szCs w:val="20"/>
          <w:u w:color="0070C0"/>
          <w:lang w:val="fr-FR"/>
        </w:rPr>
        <w:t xml:space="preserve">sont implantés sur le territoire de la commune. Ces immeubles et objets </w:t>
      </w:r>
      <w:r w:rsidRPr="009E3F92">
        <w:rPr>
          <w:rFonts w:cs="Arial"/>
          <w:szCs w:val="20"/>
          <w:lang w:val="fr-FR"/>
        </w:rPr>
        <w:t xml:space="preserve">sont </w:t>
      </w:r>
      <w:r w:rsidRPr="009E3F92">
        <w:rPr>
          <w:rFonts w:cs="Arial"/>
          <w:szCs w:val="20"/>
          <w:u w:color="0070C0"/>
          <w:lang w:val="fr-FR"/>
        </w:rPr>
        <w:t xml:space="preserve">repris </w:t>
      </w:r>
      <w:r w:rsidRPr="009E3F92">
        <w:rPr>
          <w:rFonts w:cs="Arial"/>
          <w:szCs w:val="20"/>
          <w:lang w:val="fr-FR"/>
        </w:rPr>
        <w:t>au chapitre 5 de la présente partie écrite. La protection nationale, ainsi instituée et qui exige des autorisations spécifiques, est complémentaire à la protection communale définie par les présentes dispositions.</w:t>
      </w:r>
    </w:p>
    <w:p w:rsidR="009E3F92" w:rsidRPr="009E3F92" w:rsidRDefault="009E3F92" w:rsidP="009E3F92">
      <w:pPr>
        <w:rPr>
          <w:rFonts w:cs="Arial"/>
          <w:szCs w:val="20"/>
          <w:lang w:val="fr-FR"/>
        </w:rPr>
      </w:pPr>
      <w:r w:rsidRPr="009E3F92">
        <w:rPr>
          <w:rFonts w:cs="Arial"/>
          <w:szCs w:val="20"/>
          <w:lang w:val="fr-FR"/>
        </w:rPr>
        <w:t>Les secteurs protégés de type « environnement construit – C » englobent :</w:t>
      </w:r>
    </w:p>
    <w:p w:rsidR="009E3F92" w:rsidRPr="00006C7B" w:rsidRDefault="009E3F92" w:rsidP="009E3F92">
      <w:pPr>
        <w:pStyle w:val="Paragraphedeliste"/>
        <w:numPr>
          <w:ilvl w:val="0"/>
          <w:numId w:val="23"/>
        </w:numPr>
      </w:pPr>
      <w:r w:rsidRPr="00006C7B">
        <w:t xml:space="preserve">les </w:t>
      </w:r>
      <w:r w:rsidRPr="002D03CC">
        <w:t>bâtiments protégés</w:t>
      </w:r>
      <w:r w:rsidRPr="00006C7B">
        <w:t>,</w:t>
      </w:r>
    </w:p>
    <w:p w:rsidR="009E3F92" w:rsidRPr="00006C7B" w:rsidRDefault="009E3F92" w:rsidP="009E3F92">
      <w:pPr>
        <w:pStyle w:val="Paragraphedeliste"/>
        <w:numPr>
          <w:ilvl w:val="0"/>
          <w:numId w:val="23"/>
        </w:numPr>
      </w:pPr>
      <w:r w:rsidRPr="00006C7B">
        <w:t xml:space="preserve">les </w:t>
      </w:r>
      <w:r w:rsidRPr="002D03CC">
        <w:t>gabarits protégés</w:t>
      </w:r>
      <w:r w:rsidRPr="00006C7B">
        <w:t>,</w:t>
      </w:r>
    </w:p>
    <w:p w:rsidR="009E3F92" w:rsidRDefault="009E3F92" w:rsidP="009E3F92">
      <w:pPr>
        <w:pStyle w:val="Paragraphedeliste"/>
        <w:numPr>
          <w:ilvl w:val="0"/>
          <w:numId w:val="23"/>
        </w:numPr>
      </w:pPr>
      <w:r w:rsidRPr="00006C7B">
        <w:t xml:space="preserve">les </w:t>
      </w:r>
      <w:r w:rsidRPr="002D03CC">
        <w:t>alignements protégés</w:t>
      </w:r>
      <w:r w:rsidRPr="00006C7B">
        <w:t>,</w:t>
      </w:r>
    </w:p>
    <w:p w:rsidR="009E3F92" w:rsidRPr="009E39C8" w:rsidRDefault="009E3F92" w:rsidP="009E3F92">
      <w:pPr>
        <w:pStyle w:val="Paragraphedeliste"/>
        <w:numPr>
          <w:ilvl w:val="0"/>
          <w:numId w:val="23"/>
        </w:numPr>
      </w:pPr>
      <w:r w:rsidRPr="009E39C8">
        <w:t xml:space="preserve">les </w:t>
      </w:r>
      <w:r w:rsidRPr="002D03CC">
        <w:t>murs protégés</w:t>
      </w:r>
      <w:r w:rsidRPr="009E39C8">
        <w:t>,</w:t>
      </w:r>
    </w:p>
    <w:p w:rsidR="009E3F92" w:rsidRPr="009E39C8" w:rsidRDefault="009E3F92" w:rsidP="009E3F92">
      <w:pPr>
        <w:pStyle w:val="Paragraphedeliste"/>
        <w:numPr>
          <w:ilvl w:val="0"/>
          <w:numId w:val="23"/>
        </w:numPr>
      </w:pPr>
      <w:r w:rsidRPr="009E39C8">
        <w:t xml:space="preserve">les </w:t>
      </w:r>
      <w:r w:rsidRPr="002D03CC">
        <w:t>éléments protégés « petit patrimoine »</w:t>
      </w:r>
      <w:r w:rsidRPr="009E39C8">
        <w:t>,</w:t>
      </w:r>
    </w:p>
    <w:p w:rsidR="00F64068" w:rsidRPr="00006C7B" w:rsidRDefault="009E3F92" w:rsidP="009E3F92">
      <w:pPr>
        <w:pStyle w:val="Paragraphedeliste"/>
        <w:numPr>
          <w:ilvl w:val="0"/>
          <w:numId w:val="23"/>
        </w:numPr>
      </w:pPr>
      <w:r w:rsidRPr="00006C7B">
        <w:t xml:space="preserve">les </w:t>
      </w:r>
      <w:r w:rsidRPr="002D03CC">
        <w:t>sites et monuments nationaux</w:t>
      </w:r>
      <w:r w:rsidRPr="00006C7B">
        <w:t>.</w:t>
      </w:r>
    </w:p>
    <w:p w:rsidR="00F64068" w:rsidRPr="008A2154" w:rsidRDefault="009E3F92" w:rsidP="008A2154">
      <w:pPr>
        <w:pStyle w:val="Titre3"/>
      </w:pPr>
      <w:r>
        <w:t>1</w:t>
      </w:r>
      <w:r w:rsidR="005B7704">
        <w:t>8</w:t>
      </w:r>
      <w:r>
        <w:t>.2</w:t>
      </w:r>
      <w:r>
        <w:tab/>
      </w:r>
      <w:r w:rsidR="00F64068" w:rsidRPr="008A2154">
        <w:t>Généralités</w:t>
      </w:r>
    </w:p>
    <w:p w:rsidR="009E3F92" w:rsidRPr="009E3F92" w:rsidRDefault="009E3F92" w:rsidP="009E3F92">
      <w:pPr>
        <w:rPr>
          <w:rFonts w:cs="Arial"/>
          <w:szCs w:val="20"/>
          <w:lang w:val="fr-FR"/>
        </w:rPr>
      </w:pPr>
      <w:r w:rsidRPr="009E3F92">
        <w:rPr>
          <w:rFonts w:cs="Arial"/>
          <w:szCs w:val="20"/>
          <w:lang w:val="fr-FR"/>
        </w:rPr>
        <w:t xml:space="preserve">Tous travaux de réparation, de restauration, de rénovation, d'amélioration énergétique, d'agrandissement, d'extension ou de transformation quelconque de ces immeubles (ci-après appelés « travaux ») sont en principe autorisés, dans le respect des règles et procédures définies ci-après. </w:t>
      </w:r>
    </w:p>
    <w:p w:rsidR="009E3F92" w:rsidRPr="009E3F92" w:rsidRDefault="009E3F92" w:rsidP="009E3F92">
      <w:pPr>
        <w:rPr>
          <w:rFonts w:cs="Arial"/>
          <w:color w:val="000000" w:themeColor="text1"/>
          <w:szCs w:val="20"/>
          <w:lang w:val="fr-FR"/>
        </w:rPr>
      </w:pPr>
      <w:r w:rsidRPr="009E3F92">
        <w:rPr>
          <w:rFonts w:cs="Arial"/>
          <w:color w:val="000000" w:themeColor="text1"/>
          <w:szCs w:val="20"/>
          <w:lang w:val="fr-FR"/>
        </w:rPr>
        <w:t>Les constructions nouvelles et les transformations de constructions doivent s'intégrer dans la structure caractéristique du bâti existant. Les éléments à respecter sont le parcellaire, l’implantation des volumes, la volumétrie, le rythme des façades, ainsi que les matériaux et teintes traditionnelles et typiques. Ces éléments caractéristiques à respecter sont à transposer dans les constructions nouvelles ou transformations en ayant recours à une architecture contemporaine de qualité. Les nouvelles constructions ou transformations qui sont susceptibles de porter préjudice au site peuvent être interdites.</w:t>
      </w:r>
    </w:p>
    <w:p w:rsidR="00F64068" w:rsidRPr="009E3F92" w:rsidRDefault="009E3F92" w:rsidP="009E3F92">
      <w:pPr>
        <w:rPr>
          <w:color w:val="000000" w:themeColor="text1"/>
          <w:lang w:val="fr-FR"/>
        </w:rPr>
      </w:pPr>
      <w:r w:rsidRPr="009E3F92">
        <w:rPr>
          <w:rFonts w:cs="Arial"/>
          <w:color w:val="000000" w:themeColor="text1"/>
          <w:szCs w:val="20"/>
          <w:lang w:val="fr-FR"/>
        </w:rPr>
        <w:t xml:space="preserve">L’implantation de nouvelles constructions est déterminée en s’inspirant du contexte et notamment des constructions existantes voisines et du site. </w:t>
      </w:r>
    </w:p>
    <w:p w:rsidR="00F64068" w:rsidRPr="008A2154" w:rsidRDefault="009E3F92" w:rsidP="008A2154">
      <w:pPr>
        <w:pStyle w:val="Titre3"/>
      </w:pPr>
      <w:r>
        <w:t>1</w:t>
      </w:r>
      <w:r w:rsidR="005B7704">
        <w:t>8</w:t>
      </w:r>
      <w:r>
        <w:t>.3</w:t>
      </w:r>
      <w:r>
        <w:tab/>
      </w:r>
      <w:r w:rsidR="00F64068" w:rsidRPr="008A2154">
        <w:t>Autorisations et avis</w:t>
      </w:r>
    </w:p>
    <w:p w:rsidR="009E3F92" w:rsidRPr="009E3F92" w:rsidRDefault="009E3F92" w:rsidP="009E3F92">
      <w:pPr>
        <w:rPr>
          <w:rFonts w:cs="Arial"/>
          <w:szCs w:val="20"/>
          <w:lang w:val="fr-FR"/>
        </w:rPr>
      </w:pPr>
      <w:r w:rsidRPr="009E3F92">
        <w:rPr>
          <w:rFonts w:cs="Arial"/>
          <w:szCs w:val="20"/>
          <w:lang w:val="fr-FR"/>
        </w:rPr>
        <w:t>Tout projet de travaux ainsi que toute autre intervention architecturale et/ou urbanistique dans l</w:t>
      </w:r>
      <w:r w:rsidRPr="009E3F92">
        <w:rPr>
          <w:lang w:val="fr-FR"/>
        </w:rPr>
        <w:t xml:space="preserve">es secteurs protégés d’intérêt communal de type « environnement construit – C » </w:t>
      </w:r>
      <w:r w:rsidRPr="009E3F92">
        <w:rPr>
          <w:rFonts w:cs="Arial"/>
          <w:szCs w:val="20"/>
          <w:lang w:val="fr-FR"/>
        </w:rPr>
        <w:t xml:space="preserve">sont soumis à </w:t>
      </w:r>
      <w:r w:rsidRPr="009E3F92">
        <w:rPr>
          <w:rFonts w:cs="Arial"/>
          <w:szCs w:val="20"/>
          <w:lang w:val="fr-FR"/>
        </w:rPr>
        <w:lastRenderedPageBreak/>
        <w:t>l'autorité compétente, qui peut, avant toute décision, soumettre le projet pour un avis consultatif au Service des Sites et Monuments Nationaux.</w:t>
      </w:r>
    </w:p>
    <w:p w:rsidR="00F64068" w:rsidRPr="009E3F92" w:rsidRDefault="009E3F92" w:rsidP="009E3F92">
      <w:pPr>
        <w:rPr>
          <w:lang w:val="fr-FR"/>
        </w:rPr>
      </w:pPr>
      <w:r w:rsidRPr="009E3F92">
        <w:rPr>
          <w:rFonts w:cs="Arial"/>
          <w:szCs w:val="20"/>
          <w:lang w:val="fr-FR"/>
        </w:rPr>
        <w:t>Toute demande d’autorisation de construire concernant un « gabarit protégé » ou un « alignement protégé » doit être accompagnée d’un levé topographique qui définit de manière précise les limites cadastrales ainsi que l’implantation du bâti existant par rapport à ces limites.</w:t>
      </w:r>
    </w:p>
    <w:bookmarkEnd w:id="3"/>
    <w:bookmarkEnd w:id="4"/>
    <w:p w:rsidR="009E3F92" w:rsidRPr="00006C7B" w:rsidRDefault="009E3F92" w:rsidP="009E3F92">
      <w:pPr>
        <w:pStyle w:val="Titre3"/>
      </w:pPr>
      <w:r>
        <w:t>1</w:t>
      </w:r>
      <w:r w:rsidR="005B7704">
        <w:t>8</w:t>
      </w:r>
      <w:r>
        <w:t>.9</w:t>
      </w:r>
      <w:r>
        <w:tab/>
      </w:r>
      <w:r w:rsidRPr="009E3F92">
        <w:t>Assainissement</w:t>
      </w:r>
      <w:r w:rsidRPr="00006C7B">
        <w:t xml:space="preserve"> énergétique</w:t>
      </w:r>
    </w:p>
    <w:p w:rsidR="009E3F92" w:rsidRDefault="009E3F92" w:rsidP="009E3F92">
      <w:r w:rsidRPr="009E3F92">
        <w:rPr>
          <w:lang w:val="fr-FR"/>
        </w:rPr>
        <w:t>Pour les bâtiments protégés et ceux dont le gabarit et l'alignement sont protégés, des</w:t>
      </w:r>
      <w:r w:rsidRPr="009E3F92">
        <w:rPr>
          <w:b/>
          <w:bCs/>
          <w:lang w:val="fr-FR"/>
        </w:rPr>
        <w:t xml:space="preserve"> </w:t>
      </w:r>
      <w:r w:rsidRPr="009E3F92">
        <w:rPr>
          <w:lang w:val="fr-FR"/>
        </w:rPr>
        <w:t>dérogations au niveau du respect des exigences minimales peuvent être octroyées par</w:t>
      </w:r>
      <w:r w:rsidRPr="009E3F92">
        <w:rPr>
          <w:b/>
          <w:bCs/>
          <w:lang w:val="fr-FR"/>
        </w:rPr>
        <w:t xml:space="preserve"> </w:t>
      </w:r>
      <w:r w:rsidRPr="009E3F92">
        <w:rPr>
          <w:lang w:val="fr-FR"/>
        </w:rPr>
        <w:t>l’autorité compétente, ceci afin que le caractère et la valeur historique de ces bâtiments</w:t>
      </w:r>
      <w:r w:rsidRPr="009E3F92">
        <w:rPr>
          <w:b/>
          <w:bCs/>
          <w:lang w:val="fr-FR"/>
        </w:rPr>
        <w:t xml:space="preserve"> </w:t>
      </w:r>
      <w:r w:rsidRPr="009E3F92">
        <w:rPr>
          <w:lang w:val="fr-FR"/>
        </w:rPr>
        <w:t>puissent être sauvegardés. Ces dérogations ne s’appliquent pas aux autres constructions</w:t>
      </w:r>
      <w:r w:rsidRPr="009E3F92">
        <w:rPr>
          <w:b/>
          <w:bCs/>
          <w:lang w:val="fr-FR"/>
        </w:rPr>
        <w:t xml:space="preserve"> </w:t>
      </w:r>
      <w:r w:rsidRPr="009E3F92">
        <w:rPr>
          <w:lang w:val="fr-FR"/>
        </w:rPr>
        <w:t xml:space="preserve">existantes et nouvelles. </w:t>
      </w:r>
      <w:r w:rsidRPr="00381DE6">
        <w:t>Ces dérogations sont expressément prévues par les textes suivants:</w:t>
      </w:r>
    </w:p>
    <w:p w:rsidR="009E3F92" w:rsidRPr="009E3F92" w:rsidRDefault="009E3F92" w:rsidP="009E3F92">
      <w:pPr>
        <w:pStyle w:val="Paragraphedeliste"/>
        <w:numPr>
          <w:ilvl w:val="0"/>
          <w:numId w:val="26"/>
        </w:numPr>
        <w:rPr>
          <w:i/>
        </w:rPr>
      </w:pPr>
      <w:r w:rsidRPr="009E3F92">
        <w:rPr>
          <w:i/>
        </w:rPr>
        <w:t>article 8bis bis du règlement grand-ducal modifié du 30 novembre 2007 concernant la performance énergétique des bâtiments d’habitation,</w:t>
      </w:r>
    </w:p>
    <w:p w:rsidR="009E3F92" w:rsidRPr="009E3F92" w:rsidRDefault="009E3F92" w:rsidP="009E3F92">
      <w:pPr>
        <w:pStyle w:val="Paragraphedeliste"/>
        <w:numPr>
          <w:ilvl w:val="0"/>
          <w:numId w:val="26"/>
        </w:numPr>
        <w:rPr>
          <w:i/>
        </w:rPr>
      </w:pPr>
      <w:r w:rsidRPr="009E3F92">
        <w:rPr>
          <w:i/>
        </w:rPr>
        <w:t>article 10 du règlement grand-ducal du 31 août 2010 concernant la performance énergétique des bâtiments fonctionnels.</w:t>
      </w:r>
    </w:p>
    <w:p w:rsidR="009E3F92" w:rsidRPr="00F64068" w:rsidRDefault="009E3F92" w:rsidP="009E3F92">
      <w:pPr>
        <w:rPr>
          <w:lang w:val="fr-FR"/>
        </w:rPr>
      </w:pPr>
      <w:r w:rsidRPr="009E3F92">
        <w:rPr>
          <w:rFonts w:eastAsia="Calibri"/>
          <w:lang w:val="fr-FR"/>
        </w:rPr>
        <w:t xml:space="preserve">Afin de garantir l’assainissement énergétique des constructions existantes une dérogation concernant l’alignement, les reculs et la hauteur à la corniche et au faîte d’au maximum 0,50 mètre peut être accordée ; sans changer la forme et la pente de la toiture. </w:t>
      </w:r>
      <w:r w:rsidRPr="00124C83">
        <w:rPr>
          <w:rFonts w:eastAsia="Calibri"/>
        </w:rPr>
        <w:t>Tout dépassement sur le domaine public est interdit.</w:t>
      </w:r>
    </w:p>
    <w:sectPr w:rsidR="009E3F92" w:rsidRPr="00F64068" w:rsidSect="00FD0B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1B1" w:rsidRDefault="00C821B1" w:rsidP="00F64068">
      <w:pPr>
        <w:spacing w:after="0" w:line="240" w:lineRule="auto"/>
      </w:pPr>
      <w:r>
        <w:separator/>
      </w:r>
    </w:p>
  </w:endnote>
  <w:endnote w:type="continuationSeparator" w:id="0">
    <w:p w:rsidR="00C821B1" w:rsidRDefault="00C821B1" w:rsidP="00F64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1B1" w:rsidRDefault="00C821B1" w:rsidP="00F64068">
      <w:pPr>
        <w:spacing w:after="0" w:line="240" w:lineRule="auto"/>
      </w:pPr>
      <w:r>
        <w:separator/>
      </w:r>
    </w:p>
  </w:footnote>
  <w:footnote w:type="continuationSeparator" w:id="0">
    <w:p w:rsidR="00C821B1" w:rsidRDefault="00C821B1" w:rsidP="00F64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37605"/>
    <w:multiLevelType w:val="hybridMultilevel"/>
    <w:tmpl w:val="D0F8483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10B233A"/>
    <w:multiLevelType w:val="hybridMultilevel"/>
    <w:tmpl w:val="421E031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A812128"/>
    <w:multiLevelType w:val="hybridMultilevel"/>
    <w:tmpl w:val="45703E7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507A0E"/>
    <w:multiLevelType w:val="hybridMultilevel"/>
    <w:tmpl w:val="A54E259A"/>
    <w:lvl w:ilvl="0" w:tplc="0368EE88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E974BE1"/>
    <w:multiLevelType w:val="hybridMultilevel"/>
    <w:tmpl w:val="700A88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06C0321"/>
    <w:multiLevelType w:val="hybridMultilevel"/>
    <w:tmpl w:val="616A8C4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45A804F0"/>
    <w:multiLevelType w:val="hybridMultilevel"/>
    <w:tmpl w:val="662036EA"/>
    <w:lvl w:ilvl="0" w:tplc="4054366A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EE666AC0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A4F844DE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8DD6CB58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794CB534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EB2BA02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6A20D758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4E57C0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CC2C6884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F5E0CF9"/>
    <w:multiLevelType w:val="hybridMultilevel"/>
    <w:tmpl w:val="CFE4E77E"/>
    <w:lvl w:ilvl="0" w:tplc="B26A0DB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2345347"/>
    <w:multiLevelType w:val="hybridMultilevel"/>
    <w:tmpl w:val="0F988216"/>
    <w:lvl w:ilvl="0" w:tplc="721E8B9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6A2CC0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C949E4A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F8E297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85202F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9BEF14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FD8EB1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64A5E5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2821B9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2717E73"/>
    <w:multiLevelType w:val="hybridMultilevel"/>
    <w:tmpl w:val="95EE598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4550EA4"/>
    <w:multiLevelType w:val="hybridMultilevel"/>
    <w:tmpl w:val="D1C2B12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7">
    <w:nsid w:val="70BE0420"/>
    <w:multiLevelType w:val="hybridMultilevel"/>
    <w:tmpl w:val="E0FE0EC6"/>
    <w:lvl w:ilvl="0" w:tplc="C8F632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93471C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CAA908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8E6DC3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5CA039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636639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87AC72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394424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F7666F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24F1EB5"/>
    <w:multiLevelType w:val="hybridMultilevel"/>
    <w:tmpl w:val="5D24875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27B2627"/>
    <w:multiLevelType w:val="hybridMultilevel"/>
    <w:tmpl w:val="CE44920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A225017"/>
    <w:multiLevelType w:val="hybridMultilevel"/>
    <w:tmpl w:val="80A0F44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7CFB6E02"/>
    <w:multiLevelType w:val="multilevel"/>
    <w:tmpl w:val="88DCC06E"/>
    <w:styleLink w:val="WWOutlineListStyle"/>
    <w:lvl w:ilvl="0">
      <w:start w:val="1"/>
      <w:numFmt w:val="none"/>
      <w:lvlText w:val="%1"/>
      <w:lvlJc w:val="left"/>
      <w:pPr>
        <w:ind w:left="0" w:firstLine="0"/>
      </w:pPr>
      <w:rPr>
        <w:rFonts w:ascii="Arial" w:hAnsi="Arial" w:hint="default"/>
        <w:sz w:val="24"/>
      </w:rPr>
    </w:lvl>
    <w:lvl w:ilvl="1">
      <w:start w:val="1"/>
      <w:numFmt w:val="decimal"/>
      <w:lvlText w:val="%1Art. %2"/>
      <w:lvlJc w:val="left"/>
      <w:pPr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7DA339B6"/>
    <w:multiLevelType w:val="hybridMultilevel"/>
    <w:tmpl w:val="8BE08BE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12"/>
  </w:num>
  <w:num w:numId="4">
    <w:abstractNumId w:val="16"/>
  </w:num>
  <w:num w:numId="5">
    <w:abstractNumId w:val="16"/>
  </w:num>
  <w:num w:numId="6">
    <w:abstractNumId w:val="0"/>
  </w:num>
  <w:num w:numId="7">
    <w:abstractNumId w:val="0"/>
  </w:num>
  <w:num w:numId="8">
    <w:abstractNumId w:val="5"/>
  </w:num>
  <w:num w:numId="9">
    <w:abstractNumId w:val="10"/>
  </w:num>
  <w:num w:numId="10">
    <w:abstractNumId w:val="7"/>
  </w:num>
  <w:num w:numId="11">
    <w:abstractNumId w:val="4"/>
  </w:num>
  <w:num w:numId="12">
    <w:abstractNumId w:val="15"/>
  </w:num>
  <w:num w:numId="13">
    <w:abstractNumId w:val="19"/>
  </w:num>
  <w:num w:numId="14">
    <w:abstractNumId w:val="20"/>
  </w:num>
  <w:num w:numId="15">
    <w:abstractNumId w:val="14"/>
  </w:num>
  <w:num w:numId="16">
    <w:abstractNumId w:val="17"/>
  </w:num>
  <w:num w:numId="17">
    <w:abstractNumId w:val="6"/>
  </w:num>
  <w:num w:numId="18">
    <w:abstractNumId w:val="11"/>
  </w:num>
  <w:num w:numId="19">
    <w:abstractNumId w:val="2"/>
  </w:num>
  <w:num w:numId="20">
    <w:abstractNumId w:val="13"/>
  </w:num>
  <w:num w:numId="21">
    <w:abstractNumId w:val="3"/>
  </w:num>
  <w:num w:numId="22">
    <w:abstractNumId w:val="22"/>
  </w:num>
  <w:num w:numId="23">
    <w:abstractNumId w:val="18"/>
  </w:num>
  <w:num w:numId="24">
    <w:abstractNumId w:val="8"/>
  </w:num>
  <w:num w:numId="25">
    <w:abstractNumId w:val="23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24D"/>
    <w:rsid w:val="0005737D"/>
    <w:rsid w:val="000B1930"/>
    <w:rsid w:val="003106D1"/>
    <w:rsid w:val="003504F1"/>
    <w:rsid w:val="005B7704"/>
    <w:rsid w:val="006769AA"/>
    <w:rsid w:val="008A2154"/>
    <w:rsid w:val="008A273D"/>
    <w:rsid w:val="008B324D"/>
    <w:rsid w:val="009E3F92"/>
    <w:rsid w:val="00A05EEB"/>
    <w:rsid w:val="00A0781F"/>
    <w:rsid w:val="00C14513"/>
    <w:rsid w:val="00C617BC"/>
    <w:rsid w:val="00C821B1"/>
    <w:rsid w:val="00E42B12"/>
    <w:rsid w:val="00F64068"/>
    <w:rsid w:val="00FD0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index heading" w:uiPriority="0"/>
    <w:lsdException w:name="caption" w:uiPriority="35" w:qFormat="1"/>
    <w:lsdException w:name="envelope address" w:uiPriority="0"/>
    <w:lsdException w:name="envelope return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Subtitle" w:semiHidden="0" w:uiPriority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Definition" w:uiPriority="0"/>
    <w:lsdException w:name="HTML Keyboard" w:uiPriority="0"/>
    <w:lsdException w:name="Outline List 1" w:uiPriority="0"/>
    <w:lsdException w:name="Outline List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Contemporary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0"/>
    <w:lsdException w:name="TOC Heading" w:uiPriority="39" w:qFormat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B1930"/>
    <w:pPr>
      <w:keepNext/>
      <w:spacing w:before="240" w:after="240" w:line="240" w:lineRule="auto"/>
      <w:outlineLvl w:val="0"/>
    </w:pPr>
    <w:rPr>
      <w:rFonts w:eastAsia="Arial" w:cs="Arial"/>
      <w:b/>
      <w:w w:val="102"/>
      <w:sz w:val="22"/>
      <w:szCs w:val="26"/>
      <w:lang w:val="fr-FR"/>
    </w:rPr>
  </w:style>
  <w:style w:type="paragraph" w:styleId="Titre2">
    <w:name w:val="heading 2"/>
    <w:basedOn w:val="Titre1"/>
    <w:next w:val="Normal"/>
    <w:link w:val="Titre2Car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aliases w:val="Titre  4"/>
    <w:basedOn w:val="Titre4"/>
    <w:next w:val="Normal"/>
    <w:link w:val="Titre5Car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qFormat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qFormat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qFormat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qFormat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B1930"/>
    <w:rPr>
      <w:rFonts w:ascii="Arial" w:eastAsia="Arial" w:hAnsi="Arial" w:cs="Arial"/>
      <w:b/>
      <w:noProof/>
      <w:w w:val="102"/>
      <w:szCs w:val="2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aliases w:val="Titre  4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uiPriority w:val="99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autoRedefine/>
    <w:uiPriority w:val="34"/>
    <w:qFormat/>
    <w:rsid w:val="00A0781F"/>
    <w:pPr>
      <w:suppressAutoHyphens w:val="0"/>
      <w:spacing w:line="240" w:lineRule="auto"/>
      <w:ind w:left="720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TableauNormal"/>
    <w:rsid w:val="00A0781F"/>
    <w:pPr>
      <w:widowControl w:val="0"/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customStyle="1" w:styleId="Aufzhlung">
    <w:name w:val="Aufzählung"/>
    <w:basedOn w:val="Normal"/>
    <w:qFormat/>
    <w:rsid w:val="00F64068"/>
    <w:pPr>
      <w:keepLines/>
      <w:numPr>
        <w:numId w:val="11"/>
      </w:numPr>
      <w:autoSpaceDN w:val="0"/>
      <w:spacing w:before="120" w:after="120" w:line="264" w:lineRule="auto"/>
      <w:textAlignment w:val="baseline"/>
    </w:pPr>
    <w:rPr>
      <w:rFonts w:eastAsia="Times New Roman" w:cs="Times New Roman"/>
      <w:noProof w:val="0"/>
      <w:szCs w:val="24"/>
      <w:lang w:val="fr-LU" w:eastAsia="fr-FR"/>
    </w:rPr>
  </w:style>
  <w:style w:type="paragraph" w:customStyle="1" w:styleId="Sous-Titre0">
    <w:name w:val="Sous-Titre"/>
    <w:basedOn w:val="Normal"/>
    <w:qFormat/>
    <w:rsid w:val="00F64068"/>
    <w:pPr>
      <w:keepNext/>
      <w:keepLines/>
      <w:autoSpaceDE w:val="0"/>
      <w:autoSpaceDN w:val="0"/>
      <w:adjustRightInd w:val="0"/>
      <w:spacing w:before="240" w:after="120" w:line="264" w:lineRule="auto"/>
      <w:ind w:left="0"/>
      <w:textAlignment w:val="baseline"/>
    </w:pPr>
    <w:rPr>
      <w:rFonts w:eastAsia="Times New Roman" w:cs="Arial"/>
      <w:b/>
      <w:bCs/>
      <w:noProof w:val="0"/>
      <w:szCs w:val="20"/>
      <w:lang w:val="fr-LU" w:eastAsia="fr-FR"/>
    </w:rPr>
  </w:style>
  <w:style w:type="paragraph" w:customStyle="1" w:styleId="Tabelle-Normal">
    <w:name w:val="Tabelle-Normal"/>
    <w:basedOn w:val="Normal"/>
    <w:qFormat/>
    <w:rsid w:val="00F64068"/>
    <w:pPr>
      <w:keepLines/>
      <w:widowControl w:val="0"/>
      <w:suppressAutoHyphens w:val="0"/>
      <w:adjustRightInd w:val="0"/>
      <w:spacing w:before="60" w:after="60" w:line="312" w:lineRule="auto"/>
      <w:ind w:left="0"/>
      <w:jc w:val="left"/>
      <w:textAlignment w:val="baseline"/>
    </w:pPr>
    <w:rPr>
      <w:rFonts w:eastAsia="Times New Roman" w:cs="Times New Roman"/>
      <w:noProof w:val="0"/>
      <w:sz w:val="18"/>
      <w:szCs w:val="20"/>
      <w:lang w:val="fr-FR" w:eastAsia="fr-FR"/>
    </w:rPr>
  </w:style>
  <w:style w:type="table" w:customStyle="1" w:styleId="TabelleZB1">
    <w:name w:val="Tabelle Z+B1"/>
    <w:basedOn w:val="TableauNormal"/>
    <w:uiPriority w:val="99"/>
    <w:qFormat/>
    <w:rsid w:val="00F64068"/>
    <w:pPr>
      <w:spacing w:before="360" w:after="0" w:line="240" w:lineRule="auto"/>
    </w:pPr>
    <w:rPr>
      <w:rFonts w:ascii="Arial" w:eastAsia="Times New Roman" w:hAnsi="Arial" w:cs="Times New Roman"/>
      <w:sz w:val="18"/>
      <w:szCs w:val="20"/>
      <w:lang w:val="fr-LU" w:eastAsia="fr-L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AD"/>
    </w:tcPr>
    <w:tblStylePr w:type="firstRow">
      <w:rPr>
        <w:rFonts w:ascii="Arial" w:hAnsi="Arial"/>
        <w:b/>
        <w:sz w:val="20"/>
      </w:rPr>
      <w:tblPr/>
      <w:tcPr>
        <w:tcBorders>
          <w:bottom w:val="single" w:sz="24" w:space="0" w:color="FFFFFF" w:themeColor="background1"/>
        </w:tcBorders>
        <w:shd w:val="clear" w:color="auto" w:fill="F8D713"/>
      </w:tcPr>
    </w:tblStylePr>
    <w:tblStylePr w:type="lastRow">
      <w:rPr>
        <w:sz w:val="18"/>
      </w:rPr>
    </w:tblStylePr>
    <w:tblStylePr w:type="firstCol">
      <w:rPr>
        <w:b/>
      </w:rPr>
      <w:tblPr/>
      <w:tcPr>
        <w:tcBorders>
          <w:right w:val="single" w:sz="6" w:space="0" w:color="FFFFFF" w:themeColor="background1"/>
        </w:tcBorders>
        <w:shd w:val="clear" w:color="auto" w:fill="FDF2AD"/>
      </w:tcPr>
    </w:tblStylePr>
    <w:tblStylePr w:type="band1Horz">
      <w:rPr>
        <w:sz w:val="18"/>
      </w:rPr>
      <w:tblPr/>
      <w:tcPr>
        <w:shd w:val="clear" w:color="auto" w:fill="FDF2AD"/>
      </w:tcPr>
    </w:tblStylePr>
    <w:tblStylePr w:type="band2Horz">
      <w:pPr>
        <w:jc w:val="left"/>
      </w:pPr>
      <w:rPr>
        <w:sz w:val="18"/>
      </w:rPr>
      <w:tblPr/>
      <w:tcPr>
        <w:tcBorders>
          <w:top w:val="single" w:sz="6" w:space="0" w:color="F8D713"/>
          <w:bottom w:val="single" w:sz="6" w:space="0" w:color="F8D713"/>
        </w:tcBorders>
        <w:shd w:val="clear" w:color="auto" w:fill="FDF2AD"/>
      </w:tcPr>
    </w:tblStylePr>
  </w:style>
  <w:style w:type="numbering" w:customStyle="1" w:styleId="WWOutlineListStyle">
    <w:name w:val="WW_OutlineListStyle"/>
    <w:basedOn w:val="Aucuneliste"/>
    <w:rsid w:val="009E3F92"/>
    <w:pPr>
      <w:numPr>
        <w:numId w:val="2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683</Words>
  <Characters>3759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CTIE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Konnen</dc:creator>
  <cp:lastModifiedBy>Marie</cp:lastModifiedBy>
  <cp:revision>4</cp:revision>
  <dcterms:created xsi:type="dcterms:W3CDTF">2017-04-05T09:25:00Z</dcterms:created>
  <dcterms:modified xsi:type="dcterms:W3CDTF">2018-03-26T13:58:00Z</dcterms:modified>
</cp:coreProperties>
</file>