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CA0" w:rsidRPr="00591D4E" w:rsidRDefault="00F51CA0" w:rsidP="00F51CA0">
      <w:pPr>
        <w:pStyle w:val="Titre1"/>
      </w:pPr>
      <w:bookmarkStart w:id="0" w:name="_Toc460224123"/>
      <w:bookmarkStart w:id="1" w:name="_Toc479145224"/>
      <w:r>
        <w:t>Art. 4</w:t>
      </w:r>
      <w:r>
        <w:tab/>
      </w:r>
      <w:r w:rsidRPr="00591D4E">
        <w:t>PAP QE – Zone d’activités économiques communale – type 1 [ECO-c1]</w:t>
      </w:r>
      <w:bookmarkEnd w:id="0"/>
      <w:bookmarkEnd w:id="1"/>
    </w:p>
    <w:p w:rsidR="00F51CA0" w:rsidRPr="00591D4E" w:rsidRDefault="00F51CA0" w:rsidP="00F51CA0">
      <w:pPr>
        <w:pStyle w:val="Titre2"/>
      </w:pPr>
      <w:bookmarkStart w:id="2" w:name="_Ref459813216"/>
      <w:r>
        <w:t>4.1</w:t>
      </w:r>
      <w:r>
        <w:tab/>
      </w:r>
      <w:r w:rsidRPr="00591D4E">
        <w:t>Affect</w:t>
      </w:r>
      <w:bookmarkStart w:id="3" w:name="_GoBack"/>
      <w:bookmarkEnd w:id="3"/>
      <w:r w:rsidRPr="00591D4E">
        <w:t>ation</w:t>
      </w:r>
      <w:bookmarkEnd w:id="2"/>
    </w:p>
    <w:p w:rsidR="00F51CA0" w:rsidRPr="00F51CA0" w:rsidRDefault="00F51CA0" w:rsidP="00F51CA0">
      <w:pPr>
        <w:rPr>
          <w:lang w:val="fr-FR"/>
        </w:rPr>
      </w:pPr>
      <w:r w:rsidRPr="00F51CA0">
        <w:rPr>
          <w:lang w:val="fr-FR"/>
        </w:rPr>
        <w:t xml:space="preserve">a) Le quartier existant </w:t>
      </w:r>
      <w:r w:rsidRPr="00591D4E">
        <w:rPr>
          <w:lang w:val="fr-FR"/>
        </w:rPr>
        <w:t xml:space="preserve">« zone d’activités économiques communale – type 1 » </w:t>
      </w:r>
      <w:r w:rsidRPr="00F51CA0">
        <w:rPr>
          <w:lang w:val="fr-FR"/>
        </w:rPr>
        <w:t>est destiné aux activités à caractère artisanal ainsi qu’aux activités ayant un lien direct avec une exploitation artisanale.</w:t>
      </w:r>
    </w:p>
    <w:p w:rsidR="00F51CA0" w:rsidRPr="00F51CA0" w:rsidRDefault="00F51CA0" w:rsidP="00F51CA0">
      <w:pPr>
        <w:rPr>
          <w:lang w:val="fr-FR"/>
        </w:rPr>
      </w:pPr>
      <w:r w:rsidRPr="00F51CA0">
        <w:rPr>
          <w:lang w:val="fr-FR"/>
        </w:rPr>
        <w:t>b) Complémentairement à l’activité principale d’une exploitation artisanale, y sont également admis :</w:t>
      </w:r>
    </w:p>
    <w:p w:rsidR="00F51CA0" w:rsidRPr="00591D4E" w:rsidRDefault="00F51CA0" w:rsidP="00F51CA0">
      <w:pPr>
        <w:pStyle w:val="Paragraphedeliste"/>
      </w:pPr>
      <w:r w:rsidRPr="00591D4E">
        <w:t>un logement de service à l’usage du personnel par exploitation dont la présence permanente est nécessaire pour assurer la direction ou la surveillance d’une entreprise particulière ;</w:t>
      </w:r>
    </w:p>
    <w:p w:rsidR="00F51CA0" w:rsidRPr="00591D4E" w:rsidRDefault="00F51CA0" w:rsidP="00F51CA0">
      <w:pPr>
        <w:pStyle w:val="Paragraphedeliste"/>
      </w:pPr>
      <w:r w:rsidRPr="00591D4E">
        <w:t>le commerce de détail, limité à 150 m² de surface de vente par exploitation, sous condition que le commerce a un lien direct avec l’exploitation ;</w:t>
      </w:r>
    </w:p>
    <w:p w:rsidR="00F51CA0" w:rsidRPr="00591D4E" w:rsidRDefault="00F51CA0" w:rsidP="00F51CA0">
      <w:pPr>
        <w:pStyle w:val="Paragraphedeliste"/>
      </w:pPr>
      <w:r w:rsidRPr="00591D4E">
        <w:t>les services administratifs ou professionnels ;</w:t>
      </w:r>
    </w:p>
    <w:p w:rsidR="00F51CA0" w:rsidRPr="00591D4E" w:rsidRDefault="00F51CA0" w:rsidP="00F51CA0">
      <w:pPr>
        <w:pStyle w:val="Paragraphedeliste"/>
      </w:pPr>
      <w:r w:rsidRPr="00591D4E">
        <w:t>le stockage de marchandises ou de matériaux.</w:t>
      </w:r>
    </w:p>
    <w:p w:rsidR="00F51CA0" w:rsidRPr="00591D4E" w:rsidRDefault="00F51CA0" w:rsidP="00F51CA0">
      <w:pPr>
        <w:rPr>
          <w:lang w:val="fr-FR"/>
        </w:rPr>
      </w:pPr>
      <w:r w:rsidRPr="00591D4E">
        <w:rPr>
          <w:lang w:val="fr-FR"/>
        </w:rPr>
        <w:t>c) Une ou plusieurs dépendances ayant un lien direct avec l’exploitation artisanale peuvent être construites dans les marges de reculement latérales et arrière du bâtiment principal.</w:t>
      </w:r>
    </w:p>
    <w:p w:rsidR="00F51CA0" w:rsidRPr="00591D4E" w:rsidRDefault="00F51CA0" w:rsidP="00F51CA0">
      <w:pPr>
        <w:pStyle w:val="Titre2"/>
      </w:pPr>
      <w:r>
        <w:t>4.2</w:t>
      </w:r>
      <w:r>
        <w:tab/>
      </w:r>
      <w:r w:rsidRPr="00591D4E">
        <w:t>Marges de reculement</w:t>
      </w:r>
    </w:p>
    <w:p w:rsidR="00943437" w:rsidRDefault="00943437" w:rsidP="00943437">
      <w:pPr>
        <w:rPr>
          <w:noProof w:val="0"/>
          <w:lang w:val="fr-FR"/>
        </w:rPr>
      </w:pPr>
      <w:r>
        <w:t>a) Les marges de reculement des bâtiments sont définies comme suit :</w:t>
      </w:r>
    </w:p>
    <w:p w:rsidR="00943437" w:rsidRDefault="00943437" w:rsidP="00943437">
      <w:pPr>
        <w:pStyle w:val="Aufzhlung"/>
      </w:pPr>
      <w:r>
        <w:t>le recul avant est d’au moins 6,00 mètres ;</w:t>
      </w:r>
    </w:p>
    <w:p w:rsidR="00943437" w:rsidRDefault="00943437" w:rsidP="00943437">
      <w:pPr>
        <w:pStyle w:val="Aufzhlung"/>
      </w:pPr>
      <w:r>
        <w:t>les bâtiments peuvent être accolés aux constructions existantes ou le recul latéral est d’au moins 5,00 mètres ;</w:t>
      </w:r>
    </w:p>
    <w:p w:rsidR="00943437" w:rsidRDefault="00943437" w:rsidP="00943437">
      <w:pPr>
        <w:pStyle w:val="Aufzhlung"/>
      </w:pPr>
      <w:r>
        <w:t>le recul arrière est d’au moins 10,00 mètres.</w:t>
      </w:r>
    </w:p>
    <w:p w:rsidR="00943437" w:rsidRDefault="00943437" w:rsidP="00943437">
      <w:pPr>
        <w:rPr>
          <w:lang w:val="fr-FR"/>
        </w:rPr>
      </w:pPr>
      <w:r>
        <w:rPr>
          <w:lang w:val="fr-FR"/>
        </w:rPr>
        <w:t>Les marges de reculement sont mesurées selon les dispositions de l’</w:t>
      </w:r>
      <w:r w:rsidR="009B39B6">
        <w:t>Art.24</w:t>
      </w:r>
    </w:p>
    <w:p w:rsidR="00F51CA0" w:rsidRPr="00F51CA0" w:rsidRDefault="00943437" w:rsidP="00943437">
      <w:pPr>
        <w:rPr>
          <w:lang w:val="fr-FR"/>
        </w:rPr>
      </w:pPr>
      <w:r>
        <w:rPr>
          <w:lang w:val="fr-FR"/>
        </w:rPr>
        <w:t xml:space="preserve">b) Les dépendances visées par l’Art. </w:t>
      </w:r>
      <w:r w:rsidR="009B39B6">
        <w:t>4.1</w:t>
      </w:r>
      <w:r>
        <w:rPr>
          <w:lang w:val="fr-FR"/>
        </w:rPr>
        <w:t xml:space="preserve">c) doivent avoir un recul minimal de 3,0 mètres </w:t>
      </w:r>
      <w:r>
        <w:t>sur les limites de la parcelle</w:t>
      </w:r>
      <w:r w:rsidR="00F51CA0" w:rsidRPr="00F51CA0">
        <w:rPr>
          <w:lang w:val="fr-FR"/>
        </w:rPr>
        <w:t>.</w:t>
      </w:r>
    </w:p>
    <w:p w:rsidR="00F51CA0" w:rsidRPr="00591D4E" w:rsidRDefault="00F51CA0" w:rsidP="00F51CA0">
      <w:pPr>
        <w:pStyle w:val="Titre3"/>
      </w:pPr>
      <w:r>
        <w:t>4.2.1</w:t>
      </w:r>
      <w:r>
        <w:tab/>
      </w:r>
      <w:r w:rsidRPr="00591D4E">
        <w:t>Dérogation</w:t>
      </w:r>
    </w:p>
    <w:p w:rsidR="00F51CA0" w:rsidRPr="00F51CA0" w:rsidRDefault="00F51CA0" w:rsidP="00F51CA0">
      <w:pPr>
        <w:rPr>
          <w:lang w:val="fr-FR"/>
        </w:rPr>
      </w:pPr>
      <w:r w:rsidRPr="00F51CA0">
        <w:rPr>
          <w:lang w:val="fr-FR"/>
        </w:rPr>
        <w:t xml:space="preserve">Une dérogation pour les bâtiments et les dépendances visées par </w:t>
      </w:r>
      <w:r w:rsidRPr="00591D4E">
        <w:rPr>
          <w:lang w:val="fr-FR"/>
        </w:rPr>
        <w:t xml:space="preserve">l’Art. </w:t>
      </w:r>
      <w:r w:rsidR="009B39B6">
        <w:t>4.1</w:t>
      </w:r>
      <w:r w:rsidRPr="00591D4E">
        <w:rPr>
          <w:lang w:val="fr-FR"/>
        </w:rPr>
        <w:t>c)</w:t>
      </w:r>
      <w:r w:rsidRPr="00F51CA0">
        <w:rPr>
          <w:lang w:val="fr-FR"/>
        </w:rPr>
        <w:t xml:space="preserve"> peut être accordée dans les cas où une augmentation ou une diminution du recul s’impose pour des raisons urbanistiques, topographiques, de raccordement aux immeubles existants ou de sécurité de la circulation. Exceptionnellement, dans le cas d'une reconstruction d'un immeuble, les reculs existants peuvent être maintenus.</w:t>
      </w:r>
    </w:p>
    <w:p w:rsidR="00F51CA0" w:rsidRPr="00591D4E" w:rsidRDefault="00F51CA0" w:rsidP="00F51CA0">
      <w:pPr>
        <w:pStyle w:val="Titre2"/>
      </w:pPr>
      <w:r>
        <w:t>4.3</w:t>
      </w:r>
      <w:r>
        <w:tab/>
      </w:r>
      <w:r w:rsidRPr="00591D4E">
        <w:t>Gabarit des constructions principales</w:t>
      </w:r>
    </w:p>
    <w:p w:rsidR="00F51CA0" w:rsidRPr="00591D4E" w:rsidRDefault="00F51CA0" w:rsidP="00F51CA0">
      <w:pPr>
        <w:pStyle w:val="Titre3"/>
      </w:pPr>
      <w:r>
        <w:t>4.3.1</w:t>
      </w:r>
      <w:r>
        <w:tab/>
      </w:r>
      <w:r w:rsidRPr="00591D4E">
        <w:t>Emprise au sol des constructions</w:t>
      </w:r>
    </w:p>
    <w:p w:rsidR="00F51CA0" w:rsidRPr="00F51CA0" w:rsidRDefault="00943437" w:rsidP="00F51CA0">
      <w:pPr>
        <w:rPr>
          <w:lang w:val="fr-FR"/>
        </w:rPr>
      </w:pPr>
      <w:r>
        <w:t>Le rapport entre la surface d’emprise au sol de la ou des construction(s) (au niveau du terrain naturel) et le terrain à bâtir net est de 0,75 au maximum</w:t>
      </w:r>
      <w:r w:rsidR="00F51CA0" w:rsidRPr="00F51CA0">
        <w:rPr>
          <w:lang w:val="fr-FR"/>
        </w:rPr>
        <w:t>.</w:t>
      </w:r>
    </w:p>
    <w:p w:rsidR="00F51CA0" w:rsidRPr="00591D4E" w:rsidRDefault="00F51CA0" w:rsidP="00F51CA0">
      <w:pPr>
        <w:pStyle w:val="Titre3"/>
      </w:pPr>
      <w:r>
        <w:t>4.3.2</w:t>
      </w:r>
      <w:r>
        <w:tab/>
      </w:r>
      <w:r w:rsidRPr="00591D4E">
        <w:t>Nombre de niveaux</w:t>
      </w:r>
    </w:p>
    <w:p w:rsidR="00F51CA0" w:rsidRPr="00F51CA0" w:rsidRDefault="00F51CA0" w:rsidP="00F51CA0">
      <w:pPr>
        <w:widowControl w:val="0"/>
        <w:tabs>
          <w:tab w:val="left" w:pos="0"/>
        </w:tabs>
        <w:autoSpaceDE w:val="0"/>
        <w:adjustRightInd w:val="0"/>
        <w:rPr>
          <w:rFonts w:cs="Arial"/>
          <w:lang w:val="fr-FR"/>
        </w:rPr>
      </w:pPr>
      <w:r w:rsidRPr="00F51CA0">
        <w:rPr>
          <w:lang w:val="fr-FR"/>
        </w:rPr>
        <w:t xml:space="preserve">Les bâtiments ont deux niveaux pleins, y compris le rez-de-chaussée, et un niveau souterrain au </w:t>
      </w:r>
      <w:r w:rsidRPr="00F51CA0">
        <w:rPr>
          <w:lang w:val="fr-FR"/>
        </w:rPr>
        <w:lastRenderedPageBreak/>
        <w:t>maximum. Il est possible d’aménager un niveau supplémentaire dans les combles ou en tant qu’étage en retrait, avec au maximum 6</w:t>
      </w:r>
      <w:r w:rsidRPr="00591D4E">
        <w:rPr>
          <w:lang w:val="fr-FR"/>
        </w:rPr>
        <w:t>0%</w:t>
      </w:r>
      <w:r w:rsidRPr="00F51CA0">
        <w:rPr>
          <w:lang w:val="fr-FR"/>
        </w:rPr>
        <w:t xml:space="preserve"> </w:t>
      </w:r>
      <w:r w:rsidRPr="00F51CA0">
        <w:rPr>
          <w:rFonts w:cs="Arial"/>
          <w:lang w:val="fr-FR"/>
        </w:rPr>
        <w:t>de la surface utile du dernier niveau plein.</w:t>
      </w:r>
    </w:p>
    <w:p w:rsidR="00F51CA0" w:rsidRPr="00591D4E" w:rsidRDefault="00F51CA0" w:rsidP="00F51CA0">
      <w:pPr>
        <w:pStyle w:val="Titre3"/>
      </w:pPr>
      <w:r>
        <w:t>4.3.3</w:t>
      </w:r>
      <w:r>
        <w:tab/>
      </w:r>
      <w:r w:rsidRPr="00591D4E">
        <w:t>Hauteur</w:t>
      </w:r>
    </w:p>
    <w:p w:rsidR="00943437" w:rsidRDefault="00943437" w:rsidP="00943437">
      <w:pPr>
        <w:rPr>
          <w:noProof w:val="0"/>
          <w:lang w:val="fr-FR"/>
        </w:rPr>
      </w:pPr>
      <w:r>
        <w:rPr>
          <w:lang w:val="fr-FR"/>
        </w:rPr>
        <w:t xml:space="preserve">La hauteur maximale </w:t>
      </w:r>
      <w:r>
        <w:rPr>
          <w:u w:val="single"/>
          <w:lang w:val="fr-FR"/>
        </w:rPr>
        <w:t>d’un bâtiment principal ou d’une dépendance</w:t>
      </w:r>
      <w:r>
        <w:rPr>
          <w:lang w:val="fr-FR"/>
        </w:rPr>
        <w:t xml:space="preserve"> ne peut pas excéder :</w:t>
      </w:r>
    </w:p>
    <w:p w:rsidR="00943437" w:rsidRDefault="00943437" w:rsidP="00943437">
      <w:pPr>
        <w:pStyle w:val="Aufzhlung"/>
        <w:numPr>
          <w:ilvl w:val="0"/>
          <w:numId w:val="35"/>
        </w:numPr>
        <w:spacing w:line="276" w:lineRule="auto"/>
        <w:ind w:left="720"/>
        <w:textAlignment w:val="auto"/>
      </w:pPr>
      <w:r>
        <w:rPr>
          <w:lang w:val="fr-FR"/>
        </w:rPr>
        <w:t>8,00 mètres</w:t>
      </w:r>
      <w:r>
        <w:t xml:space="preserve"> à la corniche ou à l'acrotère et</w:t>
      </w:r>
    </w:p>
    <w:p w:rsidR="00943437" w:rsidRDefault="00943437" w:rsidP="00943437">
      <w:pPr>
        <w:pStyle w:val="Aufzhlung"/>
        <w:numPr>
          <w:ilvl w:val="0"/>
          <w:numId w:val="35"/>
        </w:numPr>
        <w:spacing w:line="276" w:lineRule="auto"/>
        <w:ind w:left="720"/>
        <w:textAlignment w:val="auto"/>
      </w:pPr>
      <w:r>
        <w:rPr>
          <w:lang w:val="fr-FR"/>
        </w:rPr>
        <w:t>11,00 mètres</w:t>
      </w:r>
      <w:r>
        <w:t xml:space="preserve"> au faîte.</w:t>
      </w:r>
    </w:p>
    <w:p w:rsidR="00F51CA0" w:rsidRPr="00591D4E" w:rsidRDefault="00943437" w:rsidP="00943437">
      <w:pPr>
        <w:rPr>
          <w:lang w:val="fr-FR"/>
        </w:rPr>
      </w:pPr>
      <w:r>
        <w:rPr>
          <w:lang w:val="fr-FR"/>
        </w:rPr>
        <w:t>Les hauteurs sont mesurées selon les dispositions de l’</w:t>
      </w:r>
      <w:r w:rsidR="009B39B6">
        <w:t>Art. 27</w:t>
      </w:r>
      <w:r w:rsidR="00F51CA0" w:rsidRPr="00591D4E">
        <w:rPr>
          <w:lang w:val="fr-FR"/>
        </w:rPr>
        <w:t>.</w:t>
      </w:r>
    </w:p>
    <w:p w:rsidR="00F51CA0" w:rsidRPr="00591D4E" w:rsidRDefault="00F51CA0" w:rsidP="00F51CA0">
      <w:pPr>
        <w:pStyle w:val="Titre3"/>
      </w:pPr>
      <w:r>
        <w:t>4.3.4</w:t>
      </w:r>
      <w:r>
        <w:tab/>
      </w:r>
      <w:r w:rsidRPr="00591D4E">
        <w:t>Toitures et façades</w:t>
      </w:r>
    </w:p>
    <w:p w:rsidR="00943437" w:rsidRDefault="00943437" w:rsidP="00943437">
      <w:pPr>
        <w:widowControl w:val="0"/>
        <w:tabs>
          <w:tab w:val="left" w:pos="0"/>
        </w:tabs>
        <w:autoSpaceDE w:val="0"/>
        <w:adjustRightInd w:val="0"/>
        <w:rPr>
          <w:noProof w:val="0"/>
        </w:rPr>
      </w:pPr>
      <w:r>
        <w:t xml:space="preserve">a) La </w:t>
      </w:r>
      <w:r>
        <w:rPr>
          <w:u w:val="single"/>
        </w:rPr>
        <w:t xml:space="preserve">toiture </w:t>
      </w:r>
      <w:r>
        <w:rPr>
          <w:u w:val="single"/>
          <w:lang w:val="fr-FR"/>
        </w:rPr>
        <w:t>d’un bâtiment principal ou d’une dépendance</w:t>
      </w:r>
      <w:r>
        <w:rPr>
          <w:lang w:val="fr-FR"/>
        </w:rPr>
        <w:t xml:space="preserve"> </w:t>
      </w:r>
      <w:r>
        <w:t xml:space="preserve">peut être </w:t>
      </w:r>
    </w:p>
    <w:p w:rsidR="00943437" w:rsidRDefault="00943437" w:rsidP="00943437">
      <w:pPr>
        <w:pStyle w:val="Aufzhlung"/>
        <w:numPr>
          <w:ilvl w:val="0"/>
          <w:numId w:val="35"/>
        </w:numPr>
        <w:spacing w:line="276" w:lineRule="auto"/>
        <w:textAlignment w:val="auto"/>
      </w:pPr>
      <w:r>
        <w:t>à deux versants, avec une pente qui doit se situer entre 35 et 45 degrés,</w:t>
      </w:r>
    </w:p>
    <w:p w:rsidR="00943437" w:rsidRDefault="00943437" w:rsidP="00943437">
      <w:pPr>
        <w:pStyle w:val="Aufzhlung"/>
        <w:numPr>
          <w:ilvl w:val="0"/>
          <w:numId w:val="35"/>
        </w:numPr>
        <w:spacing w:line="276" w:lineRule="auto"/>
        <w:textAlignment w:val="auto"/>
      </w:pPr>
      <w:r>
        <w:t>à pente unique, avec une pente maximale de 35 degrés,</w:t>
      </w:r>
    </w:p>
    <w:p w:rsidR="00943437" w:rsidRDefault="00943437" w:rsidP="00943437">
      <w:pPr>
        <w:pStyle w:val="Aufzhlung"/>
        <w:numPr>
          <w:ilvl w:val="0"/>
          <w:numId w:val="35"/>
        </w:numPr>
        <w:spacing w:line="276" w:lineRule="auto"/>
        <w:textAlignment w:val="auto"/>
      </w:pPr>
      <w:r>
        <w:t>plate.</w:t>
      </w:r>
    </w:p>
    <w:p w:rsidR="00943437" w:rsidRDefault="00943437" w:rsidP="00943437">
      <w:pPr>
        <w:widowControl w:val="0"/>
        <w:tabs>
          <w:tab w:val="left" w:pos="0"/>
        </w:tabs>
        <w:autoSpaceDE w:val="0"/>
        <w:adjustRightInd w:val="0"/>
      </w:pPr>
      <w:r>
        <w:t>Les toitures de style « Mansart » ou bombées sont interdites.</w:t>
      </w:r>
    </w:p>
    <w:p w:rsidR="00943437" w:rsidRDefault="00943437" w:rsidP="00943437">
      <w:pPr>
        <w:widowControl w:val="0"/>
        <w:tabs>
          <w:tab w:val="left" w:pos="0"/>
        </w:tabs>
        <w:autoSpaceDE w:val="0"/>
        <w:adjustRightInd w:val="0"/>
      </w:pPr>
      <w:r>
        <w:t xml:space="preserve">La </w:t>
      </w:r>
      <w:r>
        <w:rPr>
          <w:u w:val="single"/>
        </w:rPr>
        <w:t>couverture des toitures inclinées</w:t>
      </w:r>
      <w:r>
        <w:t xml:space="preserve"> est soit réalisée en ardoises grises ou constituée d'un matériel de couleur gris foncé ou brun foncé qui en imite la forme et la texture, soit composée de tuiles de teinte naturelle et matte. Des matériaux non brillants comme p.ex. le zinc ou inox sablé à joints debout ou le cuivre sont admis. Les toitures en chaume sont interdites. Les gouttières et descentes verticales sont en zinc, en cuivre ou en inox sablé.</w:t>
      </w:r>
    </w:p>
    <w:p w:rsidR="00943437" w:rsidRDefault="00943437" w:rsidP="00943437">
      <w:pPr>
        <w:widowControl w:val="0"/>
        <w:tabs>
          <w:tab w:val="left" w:pos="0"/>
        </w:tabs>
        <w:autoSpaceDE w:val="0"/>
        <w:adjustRightInd w:val="0"/>
      </w:pPr>
      <w:r>
        <w:t xml:space="preserve">Les </w:t>
      </w:r>
      <w:r>
        <w:rPr>
          <w:u w:val="single"/>
        </w:rPr>
        <w:t>toitures à pente unique et les toitures plates</w:t>
      </w:r>
      <w:r>
        <w:t xml:space="preserve"> peuvent être végétalisées.</w:t>
      </w:r>
    </w:p>
    <w:p w:rsidR="00943437" w:rsidRDefault="00943437" w:rsidP="00943437">
      <w:pPr>
        <w:widowControl w:val="0"/>
        <w:tabs>
          <w:tab w:val="left" w:pos="0"/>
        </w:tabs>
        <w:autoSpaceDE w:val="0"/>
        <w:adjustRightInd w:val="0"/>
      </w:pPr>
      <w:r>
        <w:t>Les prescriptions pour ouvertures dans les toitures sont définies dans l’Art. 13.</w:t>
      </w:r>
    </w:p>
    <w:p w:rsidR="00F51CA0" w:rsidRPr="00F51CA0" w:rsidRDefault="00943437" w:rsidP="00943437">
      <w:pPr>
        <w:widowControl w:val="0"/>
        <w:tabs>
          <w:tab w:val="left" w:pos="0"/>
        </w:tabs>
        <w:autoSpaceDE w:val="0"/>
        <w:adjustRightInd w:val="0"/>
        <w:rPr>
          <w:lang w:val="fr-FR"/>
        </w:rPr>
      </w:pPr>
      <w:r>
        <w:t xml:space="preserve">b) Les prescriptions pour les </w:t>
      </w:r>
      <w:r>
        <w:rPr>
          <w:u w:val="single"/>
        </w:rPr>
        <w:t>étages supérieurs en retrait</w:t>
      </w:r>
      <w:r>
        <w:t xml:space="preserve"> sont définies dans l’</w:t>
      </w:r>
      <w:r w:rsidR="009B39B6">
        <w:t>Art. 15</w:t>
      </w:r>
      <w:r w:rsidR="00F51CA0" w:rsidRPr="00F51CA0">
        <w:rPr>
          <w:lang w:val="fr-FR"/>
        </w:rPr>
        <w:t>.</w:t>
      </w:r>
    </w:p>
    <w:p w:rsidR="00F51CA0" w:rsidRPr="00591D4E" w:rsidRDefault="00F51CA0" w:rsidP="00F51CA0">
      <w:pPr>
        <w:pStyle w:val="Titre2"/>
      </w:pPr>
      <w:r>
        <w:t>4.4</w:t>
      </w:r>
      <w:r>
        <w:tab/>
      </w:r>
      <w:r w:rsidRPr="00591D4E">
        <w:t>Espaces libres</w:t>
      </w:r>
    </w:p>
    <w:p w:rsidR="00943437" w:rsidRDefault="00943437" w:rsidP="00943437">
      <w:pPr>
        <w:rPr>
          <w:noProof w:val="0"/>
        </w:rPr>
      </w:pPr>
      <w:r>
        <w:t xml:space="preserve">Une surface égale à au moins 10% de la superficie de la parcelle doit être réservée à la plantation et entretenue comme telle. Ces surfaces doivent se trouver de préférence dans les marges de reculement. Elles ne peuvent, en aucun cas, être utilisées comme dépôts de matériaux, ni comme aire de stationnement. </w:t>
      </w:r>
    </w:p>
    <w:sectPr w:rsidR="00943437"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05A7" w:rsidRDefault="00E405A7" w:rsidP="00F64068">
      <w:pPr>
        <w:spacing w:after="0" w:line="240" w:lineRule="auto"/>
      </w:pPr>
      <w:r>
        <w:separator/>
      </w:r>
    </w:p>
  </w:endnote>
  <w:endnote w:type="continuationSeparator" w:id="0">
    <w:p w:rsidR="00E405A7" w:rsidRDefault="00E405A7"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05A7" w:rsidRDefault="00E405A7" w:rsidP="00F64068">
      <w:pPr>
        <w:spacing w:after="0" w:line="240" w:lineRule="auto"/>
      </w:pPr>
      <w:r>
        <w:separator/>
      </w:r>
    </w:p>
  </w:footnote>
  <w:footnote w:type="continuationSeparator" w:id="0">
    <w:p w:rsidR="00E405A7" w:rsidRDefault="00E405A7"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D63C56"/>
    <w:multiLevelType w:val="hybridMultilevel"/>
    <w:tmpl w:val="D5C43D6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2436DBE"/>
    <w:multiLevelType w:val="hybridMultilevel"/>
    <w:tmpl w:val="5F108612"/>
    <w:lvl w:ilvl="0" w:tplc="968AC93A">
      <w:start w:val="1"/>
      <w:numFmt w:val="lowerLetter"/>
      <w:lvlText w:val="%1)"/>
      <w:lvlJc w:val="left"/>
      <w:pPr>
        <w:ind w:left="786" w:hanging="360"/>
      </w:pPr>
      <w:rPr>
        <w:rFonts w:hint="default"/>
      </w:rPr>
    </w:lvl>
    <w:lvl w:ilvl="1" w:tplc="53B84544" w:tentative="1">
      <w:start w:val="1"/>
      <w:numFmt w:val="lowerLetter"/>
      <w:lvlText w:val="%2."/>
      <w:lvlJc w:val="left"/>
      <w:pPr>
        <w:ind w:left="1506" w:hanging="360"/>
      </w:pPr>
    </w:lvl>
    <w:lvl w:ilvl="2" w:tplc="CC4E74E6" w:tentative="1">
      <w:start w:val="1"/>
      <w:numFmt w:val="lowerRoman"/>
      <w:lvlText w:val="%3."/>
      <w:lvlJc w:val="right"/>
      <w:pPr>
        <w:ind w:left="2226" w:hanging="180"/>
      </w:pPr>
    </w:lvl>
    <w:lvl w:ilvl="3" w:tplc="2B9C8E86" w:tentative="1">
      <w:start w:val="1"/>
      <w:numFmt w:val="decimal"/>
      <w:lvlText w:val="%4."/>
      <w:lvlJc w:val="left"/>
      <w:pPr>
        <w:ind w:left="2946" w:hanging="360"/>
      </w:pPr>
    </w:lvl>
    <w:lvl w:ilvl="4" w:tplc="1ACC7D68" w:tentative="1">
      <w:start w:val="1"/>
      <w:numFmt w:val="lowerLetter"/>
      <w:lvlText w:val="%5."/>
      <w:lvlJc w:val="left"/>
      <w:pPr>
        <w:ind w:left="3666" w:hanging="360"/>
      </w:pPr>
    </w:lvl>
    <w:lvl w:ilvl="5" w:tplc="76DC2FEC" w:tentative="1">
      <w:start w:val="1"/>
      <w:numFmt w:val="lowerRoman"/>
      <w:lvlText w:val="%6."/>
      <w:lvlJc w:val="right"/>
      <w:pPr>
        <w:ind w:left="4386" w:hanging="180"/>
      </w:pPr>
    </w:lvl>
    <w:lvl w:ilvl="6" w:tplc="CF1858CA" w:tentative="1">
      <w:start w:val="1"/>
      <w:numFmt w:val="decimal"/>
      <w:lvlText w:val="%7."/>
      <w:lvlJc w:val="left"/>
      <w:pPr>
        <w:ind w:left="5106" w:hanging="360"/>
      </w:pPr>
    </w:lvl>
    <w:lvl w:ilvl="7" w:tplc="C81094DE" w:tentative="1">
      <w:start w:val="1"/>
      <w:numFmt w:val="lowerLetter"/>
      <w:lvlText w:val="%8."/>
      <w:lvlJc w:val="left"/>
      <w:pPr>
        <w:ind w:left="5826" w:hanging="360"/>
      </w:pPr>
    </w:lvl>
    <w:lvl w:ilvl="8" w:tplc="AB684D14" w:tentative="1">
      <w:start w:val="1"/>
      <w:numFmt w:val="lowerRoman"/>
      <w:lvlText w:val="%9."/>
      <w:lvlJc w:val="right"/>
      <w:pPr>
        <w:ind w:left="6546" w:hanging="180"/>
      </w:pPr>
    </w:lvl>
  </w:abstractNum>
  <w:abstractNum w:abstractNumId="3" w15:restartNumberingAfterBreak="0">
    <w:nsid w:val="06B871C1"/>
    <w:multiLevelType w:val="hybridMultilevel"/>
    <w:tmpl w:val="87FE847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0A631944"/>
    <w:multiLevelType w:val="hybridMultilevel"/>
    <w:tmpl w:val="1BB2C44A"/>
    <w:lvl w:ilvl="0" w:tplc="040C000F">
      <w:start w:val="1"/>
      <w:numFmt w:val="decimal"/>
      <w:lvlText w:val="%1."/>
      <w:lvlJc w:val="left"/>
      <w:pPr>
        <w:ind w:left="1080" w:hanging="360"/>
      </w:pPr>
    </w:lvl>
    <w:lvl w:ilvl="1" w:tplc="040C0019" w:tentative="1">
      <w:start w:val="1"/>
      <w:numFmt w:val="lowerLetter"/>
      <w:lvlText w:val="%2."/>
      <w:lvlJc w:val="left"/>
      <w:pPr>
        <w:ind w:left="1233" w:hanging="360"/>
      </w:pPr>
    </w:lvl>
    <w:lvl w:ilvl="2" w:tplc="040C001B" w:tentative="1">
      <w:start w:val="1"/>
      <w:numFmt w:val="lowerRoman"/>
      <w:lvlText w:val="%3."/>
      <w:lvlJc w:val="right"/>
      <w:pPr>
        <w:ind w:left="1953" w:hanging="180"/>
      </w:pPr>
    </w:lvl>
    <w:lvl w:ilvl="3" w:tplc="040C000F" w:tentative="1">
      <w:start w:val="1"/>
      <w:numFmt w:val="decimal"/>
      <w:lvlText w:val="%4."/>
      <w:lvlJc w:val="left"/>
      <w:pPr>
        <w:ind w:left="2673" w:hanging="360"/>
      </w:pPr>
    </w:lvl>
    <w:lvl w:ilvl="4" w:tplc="040C0019" w:tentative="1">
      <w:start w:val="1"/>
      <w:numFmt w:val="lowerLetter"/>
      <w:lvlText w:val="%5."/>
      <w:lvlJc w:val="left"/>
      <w:pPr>
        <w:ind w:left="3393" w:hanging="360"/>
      </w:pPr>
    </w:lvl>
    <w:lvl w:ilvl="5" w:tplc="040C001B" w:tentative="1">
      <w:start w:val="1"/>
      <w:numFmt w:val="lowerRoman"/>
      <w:lvlText w:val="%6."/>
      <w:lvlJc w:val="right"/>
      <w:pPr>
        <w:ind w:left="4113" w:hanging="180"/>
      </w:pPr>
    </w:lvl>
    <w:lvl w:ilvl="6" w:tplc="040C000F" w:tentative="1">
      <w:start w:val="1"/>
      <w:numFmt w:val="decimal"/>
      <w:lvlText w:val="%7."/>
      <w:lvlJc w:val="left"/>
      <w:pPr>
        <w:ind w:left="4833" w:hanging="360"/>
      </w:pPr>
    </w:lvl>
    <w:lvl w:ilvl="7" w:tplc="040C0019" w:tentative="1">
      <w:start w:val="1"/>
      <w:numFmt w:val="lowerLetter"/>
      <w:lvlText w:val="%8."/>
      <w:lvlJc w:val="left"/>
      <w:pPr>
        <w:ind w:left="5553" w:hanging="360"/>
      </w:pPr>
    </w:lvl>
    <w:lvl w:ilvl="8" w:tplc="040C001B" w:tentative="1">
      <w:start w:val="1"/>
      <w:numFmt w:val="lowerRoman"/>
      <w:lvlText w:val="%9."/>
      <w:lvlJc w:val="right"/>
      <w:pPr>
        <w:ind w:left="6273" w:hanging="180"/>
      </w:pPr>
    </w:lvl>
  </w:abstractNum>
  <w:abstractNum w:abstractNumId="5" w15:restartNumberingAfterBreak="0">
    <w:nsid w:val="0BE866FC"/>
    <w:multiLevelType w:val="hybridMultilevel"/>
    <w:tmpl w:val="5AB8B40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0C507A0E"/>
    <w:multiLevelType w:val="hybridMultilevel"/>
    <w:tmpl w:val="66B0EE52"/>
    <w:lvl w:ilvl="0" w:tplc="0368EE88">
      <w:start w:val="1"/>
      <w:numFmt w:val="bullet"/>
      <w:pStyle w:val="Aufzhlung"/>
      <w:lvlText w:val="»"/>
      <w:lvlJc w:val="left"/>
      <w:pPr>
        <w:ind w:left="882" w:hanging="360"/>
      </w:pPr>
      <w:rPr>
        <w:rFonts w:ascii="Arial" w:hAnsi="Arial" w:hint="default"/>
      </w:rPr>
    </w:lvl>
    <w:lvl w:ilvl="1" w:tplc="140C0003">
      <w:start w:val="1"/>
      <w:numFmt w:val="bullet"/>
      <w:lvlText w:val="o"/>
      <w:lvlJc w:val="left"/>
      <w:pPr>
        <w:ind w:left="1602" w:hanging="360"/>
      </w:pPr>
      <w:rPr>
        <w:rFonts w:ascii="Courier New" w:hAnsi="Courier New" w:cs="Courier New" w:hint="default"/>
      </w:rPr>
    </w:lvl>
    <w:lvl w:ilvl="2" w:tplc="140C0005" w:tentative="1">
      <w:start w:val="1"/>
      <w:numFmt w:val="bullet"/>
      <w:lvlText w:val=""/>
      <w:lvlJc w:val="left"/>
      <w:pPr>
        <w:ind w:left="2322" w:hanging="360"/>
      </w:pPr>
      <w:rPr>
        <w:rFonts w:ascii="Wingdings" w:hAnsi="Wingdings" w:hint="default"/>
      </w:rPr>
    </w:lvl>
    <w:lvl w:ilvl="3" w:tplc="140C0001" w:tentative="1">
      <w:start w:val="1"/>
      <w:numFmt w:val="bullet"/>
      <w:lvlText w:val=""/>
      <w:lvlJc w:val="left"/>
      <w:pPr>
        <w:ind w:left="3042" w:hanging="360"/>
      </w:pPr>
      <w:rPr>
        <w:rFonts w:ascii="Symbol" w:hAnsi="Symbol" w:hint="default"/>
      </w:rPr>
    </w:lvl>
    <w:lvl w:ilvl="4" w:tplc="140C0003" w:tentative="1">
      <w:start w:val="1"/>
      <w:numFmt w:val="bullet"/>
      <w:lvlText w:val="o"/>
      <w:lvlJc w:val="left"/>
      <w:pPr>
        <w:ind w:left="3762" w:hanging="360"/>
      </w:pPr>
      <w:rPr>
        <w:rFonts w:ascii="Courier New" w:hAnsi="Courier New" w:cs="Courier New" w:hint="default"/>
      </w:rPr>
    </w:lvl>
    <w:lvl w:ilvl="5" w:tplc="140C0005" w:tentative="1">
      <w:start w:val="1"/>
      <w:numFmt w:val="bullet"/>
      <w:lvlText w:val=""/>
      <w:lvlJc w:val="left"/>
      <w:pPr>
        <w:ind w:left="4482" w:hanging="360"/>
      </w:pPr>
      <w:rPr>
        <w:rFonts w:ascii="Wingdings" w:hAnsi="Wingdings" w:hint="default"/>
      </w:rPr>
    </w:lvl>
    <w:lvl w:ilvl="6" w:tplc="140C0001" w:tentative="1">
      <w:start w:val="1"/>
      <w:numFmt w:val="bullet"/>
      <w:lvlText w:val=""/>
      <w:lvlJc w:val="left"/>
      <w:pPr>
        <w:ind w:left="5202" w:hanging="360"/>
      </w:pPr>
      <w:rPr>
        <w:rFonts w:ascii="Symbol" w:hAnsi="Symbol" w:hint="default"/>
      </w:rPr>
    </w:lvl>
    <w:lvl w:ilvl="7" w:tplc="140C0003" w:tentative="1">
      <w:start w:val="1"/>
      <w:numFmt w:val="bullet"/>
      <w:lvlText w:val="o"/>
      <w:lvlJc w:val="left"/>
      <w:pPr>
        <w:ind w:left="5922" w:hanging="360"/>
      </w:pPr>
      <w:rPr>
        <w:rFonts w:ascii="Courier New" w:hAnsi="Courier New" w:cs="Courier New" w:hint="default"/>
      </w:rPr>
    </w:lvl>
    <w:lvl w:ilvl="8" w:tplc="140C0005" w:tentative="1">
      <w:start w:val="1"/>
      <w:numFmt w:val="bullet"/>
      <w:lvlText w:val=""/>
      <w:lvlJc w:val="left"/>
      <w:pPr>
        <w:ind w:left="6642" w:hanging="360"/>
      </w:pPr>
      <w:rPr>
        <w:rFonts w:ascii="Wingdings" w:hAnsi="Wingdings" w:hint="default"/>
      </w:rPr>
    </w:lvl>
  </w:abstractNum>
  <w:abstractNum w:abstractNumId="7" w15:restartNumberingAfterBreak="0">
    <w:nsid w:val="139D1B88"/>
    <w:multiLevelType w:val="hybridMultilevel"/>
    <w:tmpl w:val="BE7E6C9A"/>
    <w:lvl w:ilvl="0" w:tplc="42FC511A">
      <w:start w:val="1"/>
      <w:numFmt w:val="lowerLetter"/>
      <w:lvlText w:val="%1)"/>
      <w:lvlJc w:val="left"/>
      <w:pPr>
        <w:ind w:left="502" w:hanging="360"/>
      </w:pPr>
      <w:rPr>
        <w:rFonts w:hint="default"/>
      </w:rPr>
    </w:lvl>
    <w:lvl w:ilvl="1" w:tplc="140C0003" w:tentative="1">
      <w:start w:val="1"/>
      <w:numFmt w:val="lowerLetter"/>
      <w:lvlText w:val="%2."/>
      <w:lvlJc w:val="left"/>
      <w:pPr>
        <w:ind w:left="1222" w:hanging="360"/>
      </w:pPr>
    </w:lvl>
    <w:lvl w:ilvl="2" w:tplc="140C0005" w:tentative="1">
      <w:start w:val="1"/>
      <w:numFmt w:val="lowerRoman"/>
      <w:lvlText w:val="%3."/>
      <w:lvlJc w:val="right"/>
      <w:pPr>
        <w:ind w:left="1942" w:hanging="180"/>
      </w:pPr>
    </w:lvl>
    <w:lvl w:ilvl="3" w:tplc="140C0001" w:tentative="1">
      <w:start w:val="1"/>
      <w:numFmt w:val="decimal"/>
      <w:lvlText w:val="%4."/>
      <w:lvlJc w:val="left"/>
      <w:pPr>
        <w:ind w:left="2662" w:hanging="360"/>
      </w:pPr>
    </w:lvl>
    <w:lvl w:ilvl="4" w:tplc="140C0003" w:tentative="1">
      <w:start w:val="1"/>
      <w:numFmt w:val="lowerLetter"/>
      <w:lvlText w:val="%5."/>
      <w:lvlJc w:val="left"/>
      <w:pPr>
        <w:ind w:left="3382" w:hanging="360"/>
      </w:pPr>
    </w:lvl>
    <w:lvl w:ilvl="5" w:tplc="140C0005" w:tentative="1">
      <w:start w:val="1"/>
      <w:numFmt w:val="lowerRoman"/>
      <w:lvlText w:val="%6."/>
      <w:lvlJc w:val="right"/>
      <w:pPr>
        <w:ind w:left="4102" w:hanging="180"/>
      </w:pPr>
    </w:lvl>
    <w:lvl w:ilvl="6" w:tplc="140C0001" w:tentative="1">
      <w:start w:val="1"/>
      <w:numFmt w:val="decimal"/>
      <w:lvlText w:val="%7."/>
      <w:lvlJc w:val="left"/>
      <w:pPr>
        <w:ind w:left="4822" w:hanging="360"/>
      </w:pPr>
    </w:lvl>
    <w:lvl w:ilvl="7" w:tplc="140C0003" w:tentative="1">
      <w:start w:val="1"/>
      <w:numFmt w:val="lowerLetter"/>
      <w:lvlText w:val="%8."/>
      <w:lvlJc w:val="left"/>
      <w:pPr>
        <w:ind w:left="5542" w:hanging="360"/>
      </w:pPr>
    </w:lvl>
    <w:lvl w:ilvl="8" w:tplc="140C0005" w:tentative="1">
      <w:start w:val="1"/>
      <w:numFmt w:val="lowerRoman"/>
      <w:lvlText w:val="%9."/>
      <w:lvlJc w:val="right"/>
      <w:pPr>
        <w:ind w:left="6262" w:hanging="180"/>
      </w:pPr>
    </w:lvl>
  </w:abstractNum>
  <w:abstractNum w:abstractNumId="8" w15:restartNumberingAfterBreak="0">
    <w:nsid w:val="1CCB5A7C"/>
    <w:multiLevelType w:val="hybridMultilevel"/>
    <w:tmpl w:val="63123EFA"/>
    <w:lvl w:ilvl="0" w:tplc="8DE4018C">
      <w:start w:val="1"/>
      <w:numFmt w:val="lowerLetter"/>
      <w:lvlText w:val="%1)"/>
      <w:lvlJc w:val="left"/>
      <w:pPr>
        <w:ind w:left="785" w:hanging="360"/>
      </w:pPr>
      <w:rPr>
        <w:rFonts w:hint="default"/>
      </w:rPr>
    </w:lvl>
    <w:lvl w:ilvl="1" w:tplc="140C0003" w:tentative="1">
      <w:start w:val="1"/>
      <w:numFmt w:val="lowerLetter"/>
      <w:lvlText w:val="%2."/>
      <w:lvlJc w:val="left"/>
      <w:pPr>
        <w:ind w:left="1505" w:hanging="360"/>
      </w:pPr>
    </w:lvl>
    <w:lvl w:ilvl="2" w:tplc="140C0005" w:tentative="1">
      <w:start w:val="1"/>
      <w:numFmt w:val="lowerRoman"/>
      <w:lvlText w:val="%3."/>
      <w:lvlJc w:val="right"/>
      <w:pPr>
        <w:ind w:left="2225" w:hanging="180"/>
      </w:pPr>
    </w:lvl>
    <w:lvl w:ilvl="3" w:tplc="140C0001" w:tentative="1">
      <w:start w:val="1"/>
      <w:numFmt w:val="decimal"/>
      <w:lvlText w:val="%4."/>
      <w:lvlJc w:val="left"/>
      <w:pPr>
        <w:ind w:left="2945" w:hanging="360"/>
      </w:pPr>
    </w:lvl>
    <w:lvl w:ilvl="4" w:tplc="140C0003" w:tentative="1">
      <w:start w:val="1"/>
      <w:numFmt w:val="lowerLetter"/>
      <w:lvlText w:val="%5."/>
      <w:lvlJc w:val="left"/>
      <w:pPr>
        <w:ind w:left="3665" w:hanging="360"/>
      </w:pPr>
    </w:lvl>
    <w:lvl w:ilvl="5" w:tplc="140C0005" w:tentative="1">
      <w:start w:val="1"/>
      <w:numFmt w:val="lowerRoman"/>
      <w:lvlText w:val="%6."/>
      <w:lvlJc w:val="right"/>
      <w:pPr>
        <w:ind w:left="4385" w:hanging="180"/>
      </w:pPr>
    </w:lvl>
    <w:lvl w:ilvl="6" w:tplc="140C0001" w:tentative="1">
      <w:start w:val="1"/>
      <w:numFmt w:val="decimal"/>
      <w:lvlText w:val="%7."/>
      <w:lvlJc w:val="left"/>
      <w:pPr>
        <w:ind w:left="5105" w:hanging="360"/>
      </w:pPr>
    </w:lvl>
    <w:lvl w:ilvl="7" w:tplc="140C0003" w:tentative="1">
      <w:start w:val="1"/>
      <w:numFmt w:val="lowerLetter"/>
      <w:lvlText w:val="%8."/>
      <w:lvlJc w:val="left"/>
      <w:pPr>
        <w:ind w:left="5825" w:hanging="360"/>
      </w:pPr>
    </w:lvl>
    <w:lvl w:ilvl="8" w:tplc="140C0005" w:tentative="1">
      <w:start w:val="1"/>
      <w:numFmt w:val="lowerRoman"/>
      <w:lvlText w:val="%9."/>
      <w:lvlJc w:val="right"/>
      <w:pPr>
        <w:ind w:left="6545" w:hanging="180"/>
      </w:pPr>
    </w:lvl>
  </w:abstractNum>
  <w:abstractNum w:abstractNumId="9" w15:restartNumberingAfterBreak="0">
    <w:nsid w:val="1CDF5623"/>
    <w:multiLevelType w:val="hybridMultilevel"/>
    <w:tmpl w:val="21340FDA"/>
    <w:lvl w:ilvl="0" w:tplc="6A98B674">
      <w:start w:val="1"/>
      <w:numFmt w:val="lowerLetter"/>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0" w15:restartNumberingAfterBreak="0">
    <w:nsid w:val="1F146FA8"/>
    <w:multiLevelType w:val="hybridMultilevel"/>
    <w:tmpl w:val="81866A7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24A33892"/>
    <w:multiLevelType w:val="hybridMultilevel"/>
    <w:tmpl w:val="10A8747A"/>
    <w:lvl w:ilvl="0" w:tplc="08120E64">
      <w:start w:val="1"/>
      <w:numFmt w:val="lowerLetter"/>
      <w:lvlText w:val="%1)"/>
      <w:lvlJc w:val="left"/>
      <w:pPr>
        <w:ind w:left="360" w:hanging="360"/>
      </w:pPr>
      <w:rPr>
        <w:rFonts w:hint="default"/>
      </w:rPr>
    </w:lvl>
    <w:lvl w:ilvl="1" w:tplc="040C0003" w:tentative="1">
      <w:start w:val="1"/>
      <w:numFmt w:val="lowerLetter"/>
      <w:lvlText w:val="%2."/>
      <w:lvlJc w:val="left"/>
      <w:pPr>
        <w:ind w:left="1506" w:hanging="360"/>
      </w:pPr>
    </w:lvl>
    <w:lvl w:ilvl="2" w:tplc="040C0005" w:tentative="1">
      <w:start w:val="1"/>
      <w:numFmt w:val="lowerRoman"/>
      <w:lvlText w:val="%3."/>
      <w:lvlJc w:val="right"/>
      <w:pPr>
        <w:ind w:left="2226" w:hanging="180"/>
      </w:pPr>
    </w:lvl>
    <w:lvl w:ilvl="3" w:tplc="040C0001" w:tentative="1">
      <w:start w:val="1"/>
      <w:numFmt w:val="decimal"/>
      <w:lvlText w:val="%4."/>
      <w:lvlJc w:val="left"/>
      <w:pPr>
        <w:ind w:left="2946" w:hanging="360"/>
      </w:pPr>
    </w:lvl>
    <w:lvl w:ilvl="4" w:tplc="040C0003" w:tentative="1">
      <w:start w:val="1"/>
      <w:numFmt w:val="lowerLetter"/>
      <w:lvlText w:val="%5."/>
      <w:lvlJc w:val="left"/>
      <w:pPr>
        <w:ind w:left="3666" w:hanging="360"/>
      </w:pPr>
    </w:lvl>
    <w:lvl w:ilvl="5" w:tplc="040C0005" w:tentative="1">
      <w:start w:val="1"/>
      <w:numFmt w:val="lowerRoman"/>
      <w:lvlText w:val="%6."/>
      <w:lvlJc w:val="right"/>
      <w:pPr>
        <w:ind w:left="4386" w:hanging="180"/>
      </w:pPr>
    </w:lvl>
    <w:lvl w:ilvl="6" w:tplc="040C0001" w:tentative="1">
      <w:start w:val="1"/>
      <w:numFmt w:val="decimal"/>
      <w:lvlText w:val="%7."/>
      <w:lvlJc w:val="left"/>
      <w:pPr>
        <w:ind w:left="5106" w:hanging="360"/>
      </w:pPr>
    </w:lvl>
    <w:lvl w:ilvl="7" w:tplc="040C0003" w:tentative="1">
      <w:start w:val="1"/>
      <w:numFmt w:val="lowerLetter"/>
      <w:lvlText w:val="%8."/>
      <w:lvlJc w:val="left"/>
      <w:pPr>
        <w:ind w:left="5826" w:hanging="360"/>
      </w:pPr>
    </w:lvl>
    <w:lvl w:ilvl="8" w:tplc="040C0005" w:tentative="1">
      <w:start w:val="1"/>
      <w:numFmt w:val="lowerRoman"/>
      <w:lvlText w:val="%9."/>
      <w:lvlJc w:val="right"/>
      <w:pPr>
        <w:ind w:left="6546" w:hanging="180"/>
      </w:pPr>
    </w:lvl>
  </w:abstractNum>
  <w:abstractNum w:abstractNumId="12" w15:restartNumberingAfterBreak="0">
    <w:nsid w:val="25D46B6D"/>
    <w:multiLevelType w:val="hybridMultilevel"/>
    <w:tmpl w:val="FD26236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321B7805"/>
    <w:multiLevelType w:val="hybridMultilevel"/>
    <w:tmpl w:val="10A8747A"/>
    <w:lvl w:ilvl="0" w:tplc="44828616">
      <w:start w:val="1"/>
      <w:numFmt w:val="lowerLetter"/>
      <w:lvlText w:val="%1)"/>
      <w:lvlJc w:val="left"/>
      <w:pPr>
        <w:ind w:left="502" w:hanging="360"/>
      </w:pPr>
      <w:rPr>
        <w:rFonts w:hint="default"/>
      </w:rPr>
    </w:lvl>
    <w:lvl w:ilvl="1" w:tplc="140C0019" w:tentative="1">
      <w:start w:val="1"/>
      <w:numFmt w:val="lowerLetter"/>
      <w:lvlText w:val="%2."/>
      <w:lvlJc w:val="left"/>
      <w:pPr>
        <w:ind w:left="1506" w:hanging="360"/>
      </w:pPr>
    </w:lvl>
    <w:lvl w:ilvl="2" w:tplc="140C001B" w:tentative="1">
      <w:start w:val="1"/>
      <w:numFmt w:val="lowerRoman"/>
      <w:lvlText w:val="%3."/>
      <w:lvlJc w:val="right"/>
      <w:pPr>
        <w:ind w:left="2226" w:hanging="180"/>
      </w:pPr>
    </w:lvl>
    <w:lvl w:ilvl="3" w:tplc="140C000F" w:tentative="1">
      <w:start w:val="1"/>
      <w:numFmt w:val="decimal"/>
      <w:lvlText w:val="%4."/>
      <w:lvlJc w:val="left"/>
      <w:pPr>
        <w:ind w:left="2946" w:hanging="360"/>
      </w:pPr>
    </w:lvl>
    <w:lvl w:ilvl="4" w:tplc="140C0019" w:tentative="1">
      <w:start w:val="1"/>
      <w:numFmt w:val="lowerLetter"/>
      <w:lvlText w:val="%5."/>
      <w:lvlJc w:val="left"/>
      <w:pPr>
        <w:ind w:left="3666" w:hanging="360"/>
      </w:pPr>
    </w:lvl>
    <w:lvl w:ilvl="5" w:tplc="140C001B" w:tentative="1">
      <w:start w:val="1"/>
      <w:numFmt w:val="lowerRoman"/>
      <w:lvlText w:val="%6."/>
      <w:lvlJc w:val="right"/>
      <w:pPr>
        <w:ind w:left="4386" w:hanging="180"/>
      </w:pPr>
    </w:lvl>
    <w:lvl w:ilvl="6" w:tplc="140C000F" w:tentative="1">
      <w:start w:val="1"/>
      <w:numFmt w:val="decimal"/>
      <w:lvlText w:val="%7."/>
      <w:lvlJc w:val="left"/>
      <w:pPr>
        <w:ind w:left="5106" w:hanging="360"/>
      </w:pPr>
    </w:lvl>
    <w:lvl w:ilvl="7" w:tplc="140C0019" w:tentative="1">
      <w:start w:val="1"/>
      <w:numFmt w:val="lowerLetter"/>
      <w:lvlText w:val="%8."/>
      <w:lvlJc w:val="left"/>
      <w:pPr>
        <w:ind w:left="5826" w:hanging="360"/>
      </w:pPr>
    </w:lvl>
    <w:lvl w:ilvl="8" w:tplc="140C001B" w:tentative="1">
      <w:start w:val="1"/>
      <w:numFmt w:val="lowerRoman"/>
      <w:lvlText w:val="%9."/>
      <w:lvlJc w:val="right"/>
      <w:pPr>
        <w:ind w:left="6546" w:hanging="180"/>
      </w:pPr>
    </w:lvl>
  </w:abstractNum>
  <w:abstractNum w:abstractNumId="14" w15:restartNumberingAfterBreak="0">
    <w:nsid w:val="3BB37182"/>
    <w:multiLevelType w:val="hybridMultilevel"/>
    <w:tmpl w:val="B18CF11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406D54DD"/>
    <w:multiLevelType w:val="hybridMultilevel"/>
    <w:tmpl w:val="B0567AD6"/>
    <w:lvl w:ilvl="0" w:tplc="CC14C082">
      <w:start w:val="1"/>
      <w:numFmt w:val="lowerLetter"/>
      <w:lvlText w:val="%1)"/>
      <w:lvlJc w:val="left"/>
      <w:pPr>
        <w:ind w:left="785" w:hanging="360"/>
      </w:pPr>
      <w:rPr>
        <w:rFonts w:asciiTheme="minorHAnsi" w:eastAsiaTheme="minorHAnsi" w:hAnsiTheme="minorHAnsi" w:cs="Arial"/>
      </w:rPr>
    </w:lvl>
    <w:lvl w:ilvl="1" w:tplc="140C0019" w:tentative="1">
      <w:start w:val="1"/>
      <w:numFmt w:val="lowerLetter"/>
      <w:lvlText w:val="%2."/>
      <w:lvlJc w:val="left"/>
      <w:pPr>
        <w:ind w:left="1505" w:hanging="360"/>
      </w:pPr>
    </w:lvl>
    <w:lvl w:ilvl="2" w:tplc="140C001B" w:tentative="1">
      <w:start w:val="1"/>
      <w:numFmt w:val="lowerRoman"/>
      <w:lvlText w:val="%3."/>
      <w:lvlJc w:val="right"/>
      <w:pPr>
        <w:ind w:left="2225" w:hanging="180"/>
      </w:pPr>
    </w:lvl>
    <w:lvl w:ilvl="3" w:tplc="140C000F" w:tentative="1">
      <w:start w:val="1"/>
      <w:numFmt w:val="decimal"/>
      <w:lvlText w:val="%4."/>
      <w:lvlJc w:val="left"/>
      <w:pPr>
        <w:ind w:left="2945" w:hanging="360"/>
      </w:pPr>
    </w:lvl>
    <w:lvl w:ilvl="4" w:tplc="140C0019" w:tentative="1">
      <w:start w:val="1"/>
      <w:numFmt w:val="lowerLetter"/>
      <w:lvlText w:val="%5."/>
      <w:lvlJc w:val="left"/>
      <w:pPr>
        <w:ind w:left="3665" w:hanging="360"/>
      </w:pPr>
    </w:lvl>
    <w:lvl w:ilvl="5" w:tplc="140C001B" w:tentative="1">
      <w:start w:val="1"/>
      <w:numFmt w:val="lowerRoman"/>
      <w:lvlText w:val="%6."/>
      <w:lvlJc w:val="right"/>
      <w:pPr>
        <w:ind w:left="4385" w:hanging="180"/>
      </w:pPr>
    </w:lvl>
    <w:lvl w:ilvl="6" w:tplc="140C000F" w:tentative="1">
      <w:start w:val="1"/>
      <w:numFmt w:val="decimal"/>
      <w:lvlText w:val="%7."/>
      <w:lvlJc w:val="left"/>
      <w:pPr>
        <w:ind w:left="5105" w:hanging="360"/>
      </w:pPr>
    </w:lvl>
    <w:lvl w:ilvl="7" w:tplc="140C0019" w:tentative="1">
      <w:start w:val="1"/>
      <w:numFmt w:val="lowerLetter"/>
      <w:lvlText w:val="%8."/>
      <w:lvlJc w:val="left"/>
      <w:pPr>
        <w:ind w:left="5825" w:hanging="360"/>
      </w:pPr>
    </w:lvl>
    <w:lvl w:ilvl="8" w:tplc="140C001B" w:tentative="1">
      <w:start w:val="1"/>
      <w:numFmt w:val="lowerRoman"/>
      <w:lvlText w:val="%9."/>
      <w:lvlJc w:val="right"/>
      <w:pPr>
        <w:ind w:left="6545" w:hanging="180"/>
      </w:pPr>
    </w:lvl>
  </w:abstractNum>
  <w:abstractNum w:abstractNumId="16" w15:restartNumberingAfterBreak="0">
    <w:nsid w:val="44A70538"/>
    <w:multiLevelType w:val="hybridMultilevel"/>
    <w:tmpl w:val="233CFD98"/>
    <w:lvl w:ilvl="0" w:tplc="08120E64">
      <w:start w:val="4"/>
      <w:numFmt w:val="lowerLetter"/>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7" w15:restartNumberingAfterBreak="0">
    <w:nsid w:val="451B6DC1"/>
    <w:multiLevelType w:val="hybridMultilevel"/>
    <w:tmpl w:val="F9BE8C04"/>
    <w:lvl w:ilvl="0" w:tplc="4A2A82A2">
      <w:start w:val="1"/>
      <w:numFmt w:val="lowerLetter"/>
      <w:lvlText w:val="%1)"/>
      <w:lvlJc w:val="left"/>
      <w:pPr>
        <w:ind w:left="786" w:hanging="360"/>
      </w:pPr>
      <w:rPr>
        <w:rFonts w:hint="default"/>
      </w:rPr>
    </w:lvl>
    <w:lvl w:ilvl="1" w:tplc="F380F5BE" w:tentative="1">
      <w:start w:val="1"/>
      <w:numFmt w:val="lowerLetter"/>
      <w:lvlText w:val="%2."/>
      <w:lvlJc w:val="left"/>
      <w:pPr>
        <w:ind w:left="1506" w:hanging="360"/>
      </w:pPr>
    </w:lvl>
    <w:lvl w:ilvl="2" w:tplc="21C29144" w:tentative="1">
      <w:start w:val="1"/>
      <w:numFmt w:val="lowerRoman"/>
      <w:lvlText w:val="%3."/>
      <w:lvlJc w:val="right"/>
      <w:pPr>
        <w:ind w:left="2226" w:hanging="180"/>
      </w:pPr>
    </w:lvl>
    <w:lvl w:ilvl="3" w:tplc="51D6F046" w:tentative="1">
      <w:start w:val="1"/>
      <w:numFmt w:val="decimal"/>
      <w:lvlText w:val="%4."/>
      <w:lvlJc w:val="left"/>
      <w:pPr>
        <w:ind w:left="2946" w:hanging="360"/>
      </w:pPr>
    </w:lvl>
    <w:lvl w:ilvl="4" w:tplc="56742D06" w:tentative="1">
      <w:start w:val="1"/>
      <w:numFmt w:val="lowerLetter"/>
      <w:lvlText w:val="%5."/>
      <w:lvlJc w:val="left"/>
      <w:pPr>
        <w:ind w:left="3666" w:hanging="360"/>
      </w:pPr>
    </w:lvl>
    <w:lvl w:ilvl="5" w:tplc="A6B8951E" w:tentative="1">
      <w:start w:val="1"/>
      <w:numFmt w:val="lowerRoman"/>
      <w:lvlText w:val="%6."/>
      <w:lvlJc w:val="right"/>
      <w:pPr>
        <w:ind w:left="4386" w:hanging="180"/>
      </w:pPr>
    </w:lvl>
    <w:lvl w:ilvl="6" w:tplc="1376FE46" w:tentative="1">
      <w:start w:val="1"/>
      <w:numFmt w:val="decimal"/>
      <w:lvlText w:val="%7."/>
      <w:lvlJc w:val="left"/>
      <w:pPr>
        <w:ind w:left="5106" w:hanging="360"/>
      </w:pPr>
    </w:lvl>
    <w:lvl w:ilvl="7" w:tplc="8F341F1C" w:tentative="1">
      <w:start w:val="1"/>
      <w:numFmt w:val="lowerLetter"/>
      <w:lvlText w:val="%8."/>
      <w:lvlJc w:val="left"/>
      <w:pPr>
        <w:ind w:left="5826" w:hanging="360"/>
      </w:pPr>
    </w:lvl>
    <w:lvl w:ilvl="8" w:tplc="DD268EB4" w:tentative="1">
      <w:start w:val="1"/>
      <w:numFmt w:val="lowerRoman"/>
      <w:lvlText w:val="%9."/>
      <w:lvlJc w:val="right"/>
      <w:pPr>
        <w:ind w:left="6546" w:hanging="180"/>
      </w:pPr>
    </w:lvl>
  </w:abstractNum>
  <w:abstractNum w:abstractNumId="18" w15:restartNumberingAfterBreak="0">
    <w:nsid w:val="462836AA"/>
    <w:multiLevelType w:val="hybridMultilevel"/>
    <w:tmpl w:val="33140F9C"/>
    <w:lvl w:ilvl="0" w:tplc="09B48DB0">
      <w:start w:val="4"/>
      <w:numFmt w:val="lowerLetter"/>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9" w15:restartNumberingAfterBreak="0">
    <w:nsid w:val="58213F45"/>
    <w:multiLevelType w:val="hybridMultilevel"/>
    <w:tmpl w:val="04440E9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21" w15:restartNumberingAfterBreak="0">
    <w:nsid w:val="5CC94B8A"/>
    <w:multiLevelType w:val="hybridMultilevel"/>
    <w:tmpl w:val="3FF61E1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22" w15:restartNumberingAfterBreak="0">
    <w:nsid w:val="5EA704E5"/>
    <w:multiLevelType w:val="hybridMultilevel"/>
    <w:tmpl w:val="E9A065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60C06F42"/>
    <w:multiLevelType w:val="hybridMultilevel"/>
    <w:tmpl w:val="EE14197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61F77FB5"/>
    <w:multiLevelType w:val="hybridMultilevel"/>
    <w:tmpl w:val="0F4AC9AE"/>
    <w:lvl w:ilvl="0" w:tplc="040C0017">
      <w:start w:val="1"/>
      <w:numFmt w:val="lowerLetter"/>
      <w:lvlText w:val="%1)"/>
      <w:lvlJc w:val="left"/>
      <w:pPr>
        <w:ind w:left="927" w:hanging="360"/>
      </w:p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5" w15:restartNumberingAfterBreak="0">
    <w:nsid w:val="66A350C7"/>
    <w:multiLevelType w:val="multilevel"/>
    <w:tmpl w:val="54327E7E"/>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DCC75B5"/>
    <w:multiLevelType w:val="hybridMultilevel"/>
    <w:tmpl w:val="C4B4A1E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7" w15:restartNumberingAfterBreak="0">
    <w:nsid w:val="70B5158A"/>
    <w:multiLevelType w:val="hybridMultilevel"/>
    <w:tmpl w:val="A6A468E8"/>
    <w:lvl w:ilvl="0" w:tplc="4EE2B3CC">
      <w:start w:val="1"/>
      <w:numFmt w:val="lowerLetter"/>
      <w:lvlText w:val="%1)"/>
      <w:lvlJc w:val="left"/>
      <w:pPr>
        <w:ind w:left="786" w:hanging="360"/>
      </w:pPr>
      <w:rPr>
        <w:rFonts w:hint="default"/>
      </w:rPr>
    </w:lvl>
    <w:lvl w:ilvl="1" w:tplc="4F26EFF8" w:tentative="1">
      <w:start w:val="1"/>
      <w:numFmt w:val="lowerLetter"/>
      <w:lvlText w:val="%2."/>
      <w:lvlJc w:val="left"/>
      <w:pPr>
        <w:ind w:left="1506" w:hanging="360"/>
      </w:pPr>
    </w:lvl>
    <w:lvl w:ilvl="2" w:tplc="B3B0F04A" w:tentative="1">
      <w:start w:val="1"/>
      <w:numFmt w:val="lowerRoman"/>
      <w:lvlText w:val="%3."/>
      <w:lvlJc w:val="right"/>
      <w:pPr>
        <w:ind w:left="2226" w:hanging="180"/>
      </w:pPr>
    </w:lvl>
    <w:lvl w:ilvl="3" w:tplc="1054CA0A" w:tentative="1">
      <w:start w:val="1"/>
      <w:numFmt w:val="decimal"/>
      <w:lvlText w:val="%4."/>
      <w:lvlJc w:val="left"/>
      <w:pPr>
        <w:ind w:left="2946" w:hanging="360"/>
      </w:pPr>
    </w:lvl>
    <w:lvl w:ilvl="4" w:tplc="86946C96" w:tentative="1">
      <w:start w:val="1"/>
      <w:numFmt w:val="lowerLetter"/>
      <w:lvlText w:val="%5."/>
      <w:lvlJc w:val="left"/>
      <w:pPr>
        <w:ind w:left="3666" w:hanging="360"/>
      </w:pPr>
    </w:lvl>
    <w:lvl w:ilvl="5" w:tplc="281644EC" w:tentative="1">
      <w:start w:val="1"/>
      <w:numFmt w:val="lowerRoman"/>
      <w:lvlText w:val="%6."/>
      <w:lvlJc w:val="right"/>
      <w:pPr>
        <w:ind w:left="4386" w:hanging="180"/>
      </w:pPr>
    </w:lvl>
    <w:lvl w:ilvl="6" w:tplc="A4AAA60A" w:tentative="1">
      <w:start w:val="1"/>
      <w:numFmt w:val="decimal"/>
      <w:lvlText w:val="%7."/>
      <w:lvlJc w:val="left"/>
      <w:pPr>
        <w:ind w:left="5106" w:hanging="360"/>
      </w:pPr>
    </w:lvl>
    <w:lvl w:ilvl="7" w:tplc="63D8E14E" w:tentative="1">
      <w:start w:val="1"/>
      <w:numFmt w:val="lowerLetter"/>
      <w:lvlText w:val="%8."/>
      <w:lvlJc w:val="left"/>
      <w:pPr>
        <w:ind w:left="5826" w:hanging="360"/>
      </w:pPr>
    </w:lvl>
    <w:lvl w:ilvl="8" w:tplc="0C24055E" w:tentative="1">
      <w:start w:val="1"/>
      <w:numFmt w:val="lowerRoman"/>
      <w:lvlText w:val="%9."/>
      <w:lvlJc w:val="right"/>
      <w:pPr>
        <w:ind w:left="6546" w:hanging="180"/>
      </w:pPr>
    </w:lvl>
  </w:abstractNum>
  <w:abstractNum w:abstractNumId="28" w15:restartNumberingAfterBreak="0">
    <w:nsid w:val="737B041B"/>
    <w:multiLevelType w:val="hybridMultilevel"/>
    <w:tmpl w:val="E242B63C"/>
    <w:lvl w:ilvl="0" w:tplc="86063B82">
      <w:start w:val="1"/>
      <w:numFmt w:val="bullet"/>
      <w:pStyle w:val="Paragraphedeliste"/>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742579EF"/>
    <w:multiLevelType w:val="hybridMultilevel"/>
    <w:tmpl w:val="342CF9BE"/>
    <w:lvl w:ilvl="0" w:tplc="7F4E3244">
      <w:start w:val="2"/>
      <w:numFmt w:val="lowerLetter"/>
      <w:lvlText w:val="%1)"/>
      <w:lvlJc w:val="left"/>
      <w:pPr>
        <w:ind w:left="1146" w:hanging="360"/>
      </w:pPr>
      <w:rPr>
        <w:rFonts w:hint="default"/>
      </w:rPr>
    </w:lvl>
    <w:lvl w:ilvl="1" w:tplc="E72628BE" w:tentative="1">
      <w:start w:val="1"/>
      <w:numFmt w:val="lowerLetter"/>
      <w:lvlText w:val="%2."/>
      <w:lvlJc w:val="left"/>
      <w:pPr>
        <w:ind w:left="1866" w:hanging="360"/>
      </w:pPr>
    </w:lvl>
    <w:lvl w:ilvl="2" w:tplc="8C041A40" w:tentative="1">
      <w:start w:val="1"/>
      <w:numFmt w:val="lowerRoman"/>
      <w:lvlText w:val="%3."/>
      <w:lvlJc w:val="right"/>
      <w:pPr>
        <w:ind w:left="2586" w:hanging="180"/>
      </w:pPr>
    </w:lvl>
    <w:lvl w:ilvl="3" w:tplc="4F46B366" w:tentative="1">
      <w:start w:val="1"/>
      <w:numFmt w:val="decimal"/>
      <w:lvlText w:val="%4."/>
      <w:lvlJc w:val="left"/>
      <w:pPr>
        <w:ind w:left="3306" w:hanging="360"/>
      </w:pPr>
    </w:lvl>
    <w:lvl w:ilvl="4" w:tplc="C3ECCD10" w:tentative="1">
      <w:start w:val="1"/>
      <w:numFmt w:val="lowerLetter"/>
      <w:lvlText w:val="%5."/>
      <w:lvlJc w:val="left"/>
      <w:pPr>
        <w:ind w:left="4026" w:hanging="360"/>
      </w:pPr>
    </w:lvl>
    <w:lvl w:ilvl="5" w:tplc="5C9417B8" w:tentative="1">
      <w:start w:val="1"/>
      <w:numFmt w:val="lowerRoman"/>
      <w:lvlText w:val="%6."/>
      <w:lvlJc w:val="right"/>
      <w:pPr>
        <w:ind w:left="4746" w:hanging="180"/>
      </w:pPr>
    </w:lvl>
    <w:lvl w:ilvl="6" w:tplc="45D098CA" w:tentative="1">
      <w:start w:val="1"/>
      <w:numFmt w:val="decimal"/>
      <w:lvlText w:val="%7."/>
      <w:lvlJc w:val="left"/>
      <w:pPr>
        <w:ind w:left="5466" w:hanging="360"/>
      </w:pPr>
    </w:lvl>
    <w:lvl w:ilvl="7" w:tplc="1866792C" w:tentative="1">
      <w:start w:val="1"/>
      <w:numFmt w:val="lowerLetter"/>
      <w:lvlText w:val="%8."/>
      <w:lvlJc w:val="left"/>
      <w:pPr>
        <w:ind w:left="6186" w:hanging="360"/>
      </w:pPr>
    </w:lvl>
    <w:lvl w:ilvl="8" w:tplc="0BAE6A66" w:tentative="1">
      <w:start w:val="1"/>
      <w:numFmt w:val="lowerRoman"/>
      <w:lvlText w:val="%9."/>
      <w:lvlJc w:val="right"/>
      <w:pPr>
        <w:ind w:left="6906" w:hanging="180"/>
      </w:pPr>
    </w:lvl>
  </w:abstractNum>
  <w:abstractNum w:abstractNumId="30" w15:restartNumberingAfterBreak="0">
    <w:nsid w:val="759D5F1D"/>
    <w:multiLevelType w:val="hybridMultilevel"/>
    <w:tmpl w:val="6F98BE5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1" w15:restartNumberingAfterBreak="0">
    <w:nsid w:val="79B03004"/>
    <w:multiLevelType w:val="hybridMultilevel"/>
    <w:tmpl w:val="AEE4161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2"/>
  </w:num>
  <w:num w:numId="2">
    <w:abstractNumId w:val="20"/>
  </w:num>
  <w:num w:numId="3">
    <w:abstractNumId w:val="20"/>
  </w:num>
  <w:num w:numId="4">
    <w:abstractNumId w:val="0"/>
  </w:num>
  <w:num w:numId="5">
    <w:abstractNumId w:val="6"/>
  </w:num>
  <w:num w:numId="6">
    <w:abstractNumId w:val="25"/>
  </w:num>
  <w:num w:numId="7">
    <w:abstractNumId w:val="28"/>
  </w:num>
  <w:num w:numId="8">
    <w:abstractNumId w:val="5"/>
  </w:num>
  <w:num w:numId="9">
    <w:abstractNumId w:val="10"/>
  </w:num>
  <w:num w:numId="10">
    <w:abstractNumId w:val="3"/>
  </w:num>
  <w:num w:numId="11">
    <w:abstractNumId w:val="22"/>
  </w:num>
  <w:num w:numId="12">
    <w:abstractNumId w:val="31"/>
  </w:num>
  <w:num w:numId="13">
    <w:abstractNumId w:val="12"/>
  </w:num>
  <w:num w:numId="14">
    <w:abstractNumId w:val="2"/>
  </w:num>
  <w:num w:numId="15">
    <w:abstractNumId w:val="11"/>
  </w:num>
  <w:num w:numId="16">
    <w:abstractNumId w:val="29"/>
  </w:num>
  <w:num w:numId="17">
    <w:abstractNumId w:val="17"/>
  </w:num>
  <w:num w:numId="18">
    <w:abstractNumId w:val="8"/>
  </w:num>
  <w:num w:numId="19">
    <w:abstractNumId w:val="21"/>
  </w:num>
  <w:num w:numId="20">
    <w:abstractNumId w:val="7"/>
  </w:num>
  <w:num w:numId="21">
    <w:abstractNumId w:val="27"/>
  </w:num>
  <w:num w:numId="22">
    <w:abstractNumId w:val="13"/>
  </w:num>
  <w:num w:numId="23">
    <w:abstractNumId w:val="16"/>
  </w:num>
  <w:num w:numId="24">
    <w:abstractNumId w:val="18"/>
  </w:num>
  <w:num w:numId="25">
    <w:abstractNumId w:val="15"/>
  </w:num>
  <w:num w:numId="26">
    <w:abstractNumId w:val="19"/>
  </w:num>
  <w:num w:numId="27">
    <w:abstractNumId w:val="9"/>
  </w:num>
  <w:num w:numId="28">
    <w:abstractNumId w:val="14"/>
  </w:num>
  <w:num w:numId="29">
    <w:abstractNumId w:val="4"/>
  </w:num>
  <w:num w:numId="30">
    <w:abstractNumId w:val="26"/>
  </w:num>
  <w:num w:numId="31">
    <w:abstractNumId w:val="1"/>
  </w:num>
  <w:num w:numId="32">
    <w:abstractNumId w:val="23"/>
  </w:num>
  <w:num w:numId="33">
    <w:abstractNumId w:val="24"/>
  </w:num>
  <w:num w:numId="34">
    <w:abstractNumId w:val="30"/>
  </w:num>
  <w:num w:numId="35">
    <w:abstractNumId w:val="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B324D"/>
    <w:rsid w:val="00023B80"/>
    <w:rsid w:val="0007382A"/>
    <w:rsid w:val="00087E06"/>
    <w:rsid w:val="0018472F"/>
    <w:rsid w:val="001C11B7"/>
    <w:rsid w:val="001D3A66"/>
    <w:rsid w:val="002D4126"/>
    <w:rsid w:val="003106D1"/>
    <w:rsid w:val="00356985"/>
    <w:rsid w:val="003B643B"/>
    <w:rsid w:val="003E18A0"/>
    <w:rsid w:val="00422C79"/>
    <w:rsid w:val="004230A5"/>
    <w:rsid w:val="004F654B"/>
    <w:rsid w:val="005012BB"/>
    <w:rsid w:val="00665C48"/>
    <w:rsid w:val="00740932"/>
    <w:rsid w:val="007729E1"/>
    <w:rsid w:val="00795F12"/>
    <w:rsid w:val="00871708"/>
    <w:rsid w:val="008A2154"/>
    <w:rsid w:val="008B324D"/>
    <w:rsid w:val="00943437"/>
    <w:rsid w:val="009B39B6"/>
    <w:rsid w:val="00A05EEB"/>
    <w:rsid w:val="00A0781F"/>
    <w:rsid w:val="00A62FE9"/>
    <w:rsid w:val="00BF5485"/>
    <w:rsid w:val="00C4735B"/>
    <w:rsid w:val="00CA0E65"/>
    <w:rsid w:val="00D003C7"/>
    <w:rsid w:val="00D355B7"/>
    <w:rsid w:val="00E405A7"/>
    <w:rsid w:val="00F11ED4"/>
    <w:rsid w:val="00F51CA0"/>
    <w:rsid w:val="00F64068"/>
    <w:rsid w:val="00FA2B5C"/>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15A71"/>
  <w15:docId w15:val="{D616D1D8-A38D-44D2-92F0-7F38047A7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D003C7"/>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5012BB"/>
    <w:pPr>
      <w:outlineLvl w:val="1"/>
    </w:pPr>
    <w:rPr>
      <w:i/>
    </w:rPr>
  </w:style>
  <w:style w:type="paragraph" w:styleId="Titre3">
    <w:name w:val="heading 3"/>
    <w:basedOn w:val="Titre2"/>
    <w:next w:val="Normal"/>
    <w:link w:val="Titre3Car"/>
    <w:uiPriority w:val="9"/>
    <w:unhideWhenUsed/>
    <w:qFormat/>
    <w:rsid w:val="005012BB"/>
    <w:pPr>
      <w:spacing w:after="160"/>
      <w:outlineLvl w:val="2"/>
    </w:pPr>
    <w:rPr>
      <w:u w:val="single"/>
    </w:rPr>
  </w:style>
  <w:style w:type="paragraph" w:styleId="Titre4">
    <w:name w:val="heading 4"/>
    <w:basedOn w:val="Titre3"/>
    <w:next w:val="Normal"/>
    <w:link w:val="Titre4Car"/>
    <w:uiPriority w:val="9"/>
    <w:unhideWhenUsed/>
    <w:qFormat/>
    <w:rsid w:val="005012BB"/>
    <w:pPr>
      <w:outlineLvl w:val="3"/>
    </w:pPr>
    <w:rPr>
      <w:u w:val="none"/>
    </w:r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3"/>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003C7"/>
    <w:rPr>
      <w:rFonts w:ascii="Arial" w:eastAsia="Arial" w:hAnsi="Arial" w:cs="Arial"/>
      <w:b/>
      <w:noProof/>
      <w:w w:val="102"/>
      <w:szCs w:val="26"/>
      <w:lang w:val="fr-FR"/>
    </w:rPr>
  </w:style>
  <w:style w:type="character" w:customStyle="1" w:styleId="Titre2Car">
    <w:name w:val="Titre 2 Car"/>
    <w:basedOn w:val="Policepardfaut"/>
    <w:link w:val="Titre2"/>
    <w:uiPriority w:val="9"/>
    <w:rsid w:val="005012BB"/>
    <w:rPr>
      <w:rFonts w:ascii="Arial" w:eastAsia="Arial" w:hAnsi="Arial" w:cs="Arial"/>
      <w:b/>
      <w:i/>
      <w:noProof/>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5012BB"/>
    <w:rPr>
      <w:rFonts w:ascii="Arial" w:eastAsia="Arial" w:hAnsi="Arial" w:cs="Arial"/>
      <w:b/>
      <w:i/>
      <w:noProof/>
      <w:w w:val="102"/>
      <w:szCs w:val="26"/>
      <w:u w:val="single"/>
      <w:lang w:val="fr-FR"/>
    </w:rPr>
  </w:style>
  <w:style w:type="character" w:customStyle="1" w:styleId="Titre4Car">
    <w:name w:val="Titre 4 Car"/>
    <w:basedOn w:val="Policepardfaut"/>
    <w:link w:val="Titre4"/>
    <w:uiPriority w:val="9"/>
    <w:rsid w:val="005012BB"/>
    <w:rPr>
      <w:rFonts w:ascii="Arial" w:eastAsia="Arial" w:hAnsi="Arial" w:cs="Arial"/>
      <w:b/>
      <w:i/>
      <w:noProof/>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2"/>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4"/>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link w:val="ParagraphedelisteCar"/>
    <w:autoRedefine/>
    <w:uiPriority w:val="34"/>
    <w:qFormat/>
    <w:rsid w:val="007729E1"/>
    <w:pPr>
      <w:numPr>
        <w:numId w:val="7"/>
      </w:numPr>
      <w:suppressAutoHyphens w:val="0"/>
      <w:spacing w:line="240" w:lineRule="auto"/>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uiPriority w:val="59"/>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5"/>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 w:type="character" w:customStyle="1" w:styleId="ParagraphedelisteCar">
    <w:name w:val="Paragraphe de liste Car"/>
    <w:basedOn w:val="Policepardfaut"/>
    <w:link w:val="Paragraphedeliste"/>
    <w:uiPriority w:val="34"/>
    <w:rsid w:val="001C11B7"/>
    <w:rPr>
      <w:rFonts w:ascii="Arial" w:eastAsia="Calibri" w:hAnsi="Arial" w:cs="Times New Roman"/>
      <w:sz w:val="20"/>
      <w:lang w:val="fr-FR"/>
    </w:rPr>
  </w:style>
  <w:style w:type="paragraph" w:styleId="Textebrut">
    <w:name w:val="Plain Text"/>
    <w:basedOn w:val="Normal"/>
    <w:link w:val="TextebrutCar"/>
    <w:rsid w:val="00E405A7"/>
    <w:pPr>
      <w:keepLines/>
      <w:suppressAutoHyphens w:val="0"/>
      <w:spacing w:after="0" w:line="240" w:lineRule="auto"/>
      <w:ind w:left="0"/>
      <w:jc w:val="left"/>
    </w:pPr>
    <w:rPr>
      <w:rFonts w:ascii="Courier New" w:eastAsia="Times New Roman" w:hAnsi="Courier New" w:cs="Courier New"/>
      <w:noProof w:val="0"/>
      <w:szCs w:val="20"/>
      <w:lang w:val="fr-FR" w:eastAsia="fr-FR"/>
    </w:rPr>
  </w:style>
  <w:style w:type="character" w:customStyle="1" w:styleId="TextebrutCar">
    <w:name w:val="Texte brut Car"/>
    <w:basedOn w:val="Policepardfaut"/>
    <w:link w:val="Textebrut"/>
    <w:rsid w:val="00E405A7"/>
    <w:rPr>
      <w:rFonts w:ascii="Courier New" w:eastAsia="Times New Roman" w:hAnsi="Courier New" w:cs="Courier New"/>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72552">
      <w:bodyDiv w:val="1"/>
      <w:marLeft w:val="0"/>
      <w:marRight w:val="0"/>
      <w:marTop w:val="0"/>
      <w:marBottom w:val="0"/>
      <w:divBdr>
        <w:top w:val="none" w:sz="0" w:space="0" w:color="auto"/>
        <w:left w:val="none" w:sz="0" w:space="0" w:color="auto"/>
        <w:bottom w:val="none" w:sz="0" w:space="0" w:color="auto"/>
        <w:right w:val="none" w:sz="0" w:space="0" w:color="auto"/>
      </w:divBdr>
    </w:div>
    <w:div w:id="662469953">
      <w:bodyDiv w:val="1"/>
      <w:marLeft w:val="0"/>
      <w:marRight w:val="0"/>
      <w:marTop w:val="0"/>
      <w:marBottom w:val="0"/>
      <w:divBdr>
        <w:top w:val="none" w:sz="0" w:space="0" w:color="auto"/>
        <w:left w:val="none" w:sz="0" w:space="0" w:color="auto"/>
        <w:bottom w:val="none" w:sz="0" w:space="0" w:color="auto"/>
        <w:right w:val="none" w:sz="0" w:space="0" w:color="auto"/>
      </w:divBdr>
    </w:div>
    <w:div w:id="1228414697">
      <w:bodyDiv w:val="1"/>
      <w:marLeft w:val="0"/>
      <w:marRight w:val="0"/>
      <w:marTop w:val="0"/>
      <w:marBottom w:val="0"/>
      <w:divBdr>
        <w:top w:val="none" w:sz="0" w:space="0" w:color="auto"/>
        <w:left w:val="none" w:sz="0" w:space="0" w:color="auto"/>
        <w:bottom w:val="none" w:sz="0" w:space="0" w:color="auto"/>
        <w:right w:val="none" w:sz="0" w:space="0" w:color="auto"/>
      </w:divBdr>
    </w:div>
    <w:div w:id="168632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614</Words>
  <Characters>3380</Characters>
  <Application>Microsoft Office Word</Application>
  <DocSecurity>0</DocSecurity>
  <Lines>28</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David Hottua</cp:lastModifiedBy>
  <cp:revision>19</cp:revision>
  <dcterms:created xsi:type="dcterms:W3CDTF">2016-08-02T07:42:00Z</dcterms:created>
  <dcterms:modified xsi:type="dcterms:W3CDTF">2019-01-14T08:10:00Z</dcterms:modified>
</cp:coreProperties>
</file>