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51B9E" w14:textId="39F1E62B" w:rsidR="007D1CC1" w:rsidRDefault="007D1CC1" w:rsidP="007D1CC1">
      <w:pPr>
        <w:pStyle w:val="Heading1"/>
      </w:pPr>
      <w:r>
        <w:t>Art. 2 Zone d’habitation</w:t>
      </w:r>
    </w:p>
    <w:p w14:paraId="62F17CE6" w14:textId="77777777" w:rsidR="007D1CC1" w:rsidRDefault="007D1CC1" w:rsidP="007D1CC1">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0B3B9F9F" w14:textId="5CE51D52" w:rsidR="001C5066" w:rsidRDefault="007D1CC1" w:rsidP="007D1CC1">
      <w:r>
        <w:t>De manière générale, y sont interdits les constructions et les établissements qui par leur nature et leur importance seraient incompatibles avec la sécurité, la salubrité, la commodité et la tranquillité d’un quartier d’habitation.</w:t>
      </w:r>
      <w:bookmarkStart w:id="0" w:name="_GoBack"/>
      <w:bookmarkEnd w:id="0"/>
    </w:p>
    <w:p w14:paraId="006F9B3A" w14:textId="11CE2AE8" w:rsidR="007D1CC1" w:rsidRDefault="007D1CC1" w:rsidP="007D1CC1">
      <w:r>
        <w:t>Les zones d’habitation sont subdivisées en fonction du type d’habitation en:</w:t>
      </w:r>
    </w:p>
    <w:p w14:paraId="54A2A54F" w14:textId="539A7AF8" w:rsidR="007D1CC1" w:rsidRDefault="007D1CC1" w:rsidP="007D1CC1">
      <w:pPr>
        <w:pStyle w:val="ListParagraph"/>
        <w:numPr>
          <w:ilvl w:val="0"/>
          <w:numId w:val="8"/>
        </w:numPr>
      </w:pPr>
      <w:proofErr w:type="gramStart"/>
      <w:r>
        <w:t>zone</w:t>
      </w:r>
      <w:proofErr w:type="gramEnd"/>
      <w:r>
        <w:t xml:space="preserve"> d’habitation 1 [HAB-1] ;</w:t>
      </w:r>
    </w:p>
    <w:p w14:paraId="7EACAC1A" w14:textId="3B232332" w:rsidR="007D1CC1" w:rsidRDefault="007D1CC1" w:rsidP="007D1CC1">
      <w:pPr>
        <w:pStyle w:val="ListParagraph"/>
        <w:numPr>
          <w:ilvl w:val="0"/>
          <w:numId w:val="8"/>
        </w:numPr>
      </w:pPr>
      <w:proofErr w:type="gramStart"/>
      <w:r>
        <w:t>zone</w:t>
      </w:r>
      <w:proofErr w:type="gramEnd"/>
      <w:r>
        <w:t xml:space="preserve"> d’habitation 2 [HAB-2].</w:t>
      </w:r>
    </w:p>
    <w:p w14:paraId="41535609" w14:textId="3424BE93" w:rsidR="007D1CC1" w:rsidRPr="007D1CC1" w:rsidRDefault="007D1CC1" w:rsidP="007D1CC1">
      <w:pPr>
        <w:pStyle w:val="Heading1"/>
      </w:pPr>
      <w:r w:rsidRPr="007D1CC1">
        <w:t>Art. 3 Zone d’habitation 1 [HAB-1]</w:t>
      </w:r>
    </w:p>
    <w:p w14:paraId="35186306" w14:textId="77777777" w:rsidR="007D1CC1" w:rsidRDefault="007D1CC1" w:rsidP="007D1CC1">
      <w:r>
        <w:t>La zone d’habitation 1 est principalement destinée aux logements de type maison unifamiliale.</w:t>
      </w:r>
    </w:p>
    <w:p w14:paraId="38FDEE07" w14:textId="5E6305FC" w:rsidR="006605E2" w:rsidRPr="007D461A" w:rsidRDefault="007D1CC1" w:rsidP="007D1CC1">
      <w:r>
        <w:t>Pour tout plan d’aménagement particulier « nouveau quartier » exécutant une zone d’habitation 1, au moins la moitié des logements est de type maison unifamiliale. La surface construite brute à dédier à des fins de logement est de 90% au minimum.</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00FF5"/>
    <w:multiLevelType w:val="hybridMultilevel"/>
    <w:tmpl w:val="AD9CE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6B2328"/>
    <w:multiLevelType w:val="hybridMultilevel"/>
    <w:tmpl w:val="D16CC8A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C5066"/>
    <w:rsid w:val="00387019"/>
    <w:rsid w:val="0039622D"/>
    <w:rsid w:val="00397462"/>
    <w:rsid w:val="003A681A"/>
    <w:rsid w:val="005D1D9B"/>
    <w:rsid w:val="006605E2"/>
    <w:rsid w:val="006653E2"/>
    <w:rsid w:val="006B0ABB"/>
    <w:rsid w:val="00732511"/>
    <w:rsid w:val="007B41C9"/>
    <w:rsid w:val="007B5125"/>
    <w:rsid w:val="007D1CC1"/>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2023-04-05T14:35:00Z</dcterms:modified>
</cp:coreProperties>
</file>