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3C44C" w14:textId="77777777" w:rsidR="00915BEC" w:rsidRPr="00915BEC" w:rsidRDefault="00915BEC" w:rsidP="00915BEC">
      <w:pPr>
        <w:pStyle w:val="Heading1"/>
        <w:rPr>
          <w:lang w:val="fr-FR"/>
        </w:rPr>
      </w:pPr>
      <w:r w:rsidRPr="00915BEC">
        <w:rPr>
          <w:lang w:val="fr-FR"/>
        </w:rPr>
        <w:t>Art. 5 Zone mixte urbaine [MIX-u]</w:t>
      </w:r>
    </w:p>
    <w:p w14:paraId="7CCE5C04" w14:textId="77777777" w:rsidR="00915BEC" w:rsidRPr="00915BEC" w:rsidRDefault="00915BEC" w:rsidP="00915BEC">
      <w:pPr>
        <w:rPr>
          <w:lang w:val="fr-FR"/>
        </w:rPr>
      </w:pPr>
      <w:r w:rsidRPr="00915BEC">
        <w:rPr>
          <w:lang w:val="fr-FR"/>
        </w:rPr>
        <w:t>La zone mixte urbaine couvre le centre de la localité de Clervaux.</w:t>
      </w:r>
    </w:p>
    <w:p w14:paraId="6BD84923" w14:textId="76A12CCA" w:rsidR="00475E1B" w:rsidRPr="00915BEC" w:rsidRDefault="00915BEC" w:rsidP="00915BEC">
      <w:pPr>
        <w:rPr>
          <w:lang w:val="fr-FR"/>
        </w:rPr>
      </w:pPr>
      <w:r w:rsidRPr="00915BEC">
        <w:rPr>
          <w:lang w:val="fr-FR"/>
        </w:rPr>
        <w:t>Elle est destinée à accueillir des habitations, des activités de commerce dont la surface de vente est limitée à 5.000 m</w:t>
      </w:r>
      <w:r w:rsidRPr="00915BEC">
        <w:rPr>
          <w:vertAlign w:val="superscript"/>
          <w:lang w:val="fr-FR"/>
        </w:rPr>
        <w:t>2</w:t>
      </w:r>
      <w:r w:rsidRPr="00915BEC">
        <w:rPr>
          <w:lang w:val="fr-FR"/>
        </w:rP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bookmarkStart w:id="0" w:name="_GoBack"/>
      <w:bookmarkEnd w:id="0"/>
    </w:p>
    <w:p w14:paraId="5B5826DB" w14:textId="5C16B678" w:rsidR="00915BEC" w:rsidRPr="00915BEC" w:rsidRDefault="00915BEC" w:rsidP="00915BEC">
      <w:pPr>
        <w:rPr>
          <w:lang w:val="fr-FR"/>
        </w:rPr>
      </w:pPr>
      <w:r w:rsidRPr="00915BEC">
        <w:rPr>
          <w:lang w:val="fr-FR"/>
        </w:rPr>
        <w:t xml:space="preserve">Pour tout plan d’aménagement particulier </w:t>
      </w:r>
      <w:r>
        <w:rPr>
          <w:lang w:val="fr-FR"/>
        </w:rPr>
        <w:t>« </w:t>
      </w:r>
      <w:r w:rsidRPr="00915BEC">
        <w:rPr>
          <w:lang w:val="fr-FR"/>
        </w:rPr>
        <w:t>nouveau quartier</w:t>
      </w:r>
      <w:r>
        <w:rPr>
          <w:lang w:val="fr-FR"/>
        </w:rPr>
        <w:t> »</w:t>
      </w:r>
      <w:r w:rsidRPr="00915BEC">
        <w:rPr>
          <w:lang w:val="fr-FR"/>
        </w:rPr>
        <w:t>, la part minimale de la surface construite brute à réserver à l’habitation ne pourra être inférieure à 25%.</w:t>
      </w:r>
    </w:p>
    <w:p w14:paraId="38FDEE07" w14:textId="5FD790A0" w:rsidR="006605E2" w:rsidRPr="00915BEC" w:rsidRDefault="00915BEC" w:rsidP="00915BEC">
      <w:pPr>
        <w:rPr>
          <w:lang w:val="fr-FR"/>
        </w:rPr>
      </w:pPr>
      <w:r w:rsidRPr="00915BEC">
        <w:rPr>
          <w:lang w:val="fr-FR"/>
        </w:rPr>
        <w:t>Dans les constructions de type collectif, une mixité de logements est exigée pour favoriser la mixité sociale.</w:t>
      </w:r>
    </w:p>
    <w:sectPr w:rsidR="006605E2" w:rsidRPr="00915B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75E1B"/>
    <w:rsid w:val="005D1D9B"/>
    <w:rsid w:val="006605E2"/>
    <w:rsid w:val="006653E2"/>
    <w:rsid w:val="006B0ABB"/>
    <w:rsid w:val="00732511"/>
    <w:rsid w:val="007B41C9"/>
    <w:rsid w:val="007B5125"/>
    <w:rsid w:val="007D461A"/>
    <w:rsid w:val="008A46DB"/>
    <w:rsid w:val="00915BEC"/>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661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2023-04-05T14:35:00Z</dcterms:modified>
</cp:coreProperties>
</file>