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16B1D3" w14:textId="4245D1AE" w:rsidR="00813449" w:rsidRPr="00813449" w:rsidRDefault="00813449" w:rsidP="00813449">
      <w:pPr>
        <w:pStyle w:val="Heading1"/>
      </w:pPr>
      <w:r w:rsidRPr="00813449">
        <w:t>Art. 1 Prescriptions applicables à tous les quartiers existants situés dans les zones d’habitation et mixtes, de sports et de loisirs, de gares routieres et ferroviaires et de jardins familiaux</w:t>
      </w:r>
    </w:p>
    <w:p w14:paraId="2FC1F569" w14:textId="6E240F03" w:rsidR="00813449" w:rsidRDefault="00813449" w:rsidP="00813449">
      <w:pPr>
        <w:pStyle w:val="Heading2"/>
      </w:pPr>
      <w:r>
        <w:t>Art. 1.1 Reculs aux limites parcellaires</w:t>
      </w:r>
    </w:p>
    <w:p w14:paraId="4A461B8D" w14:textId="3A2D9347" w:rsidR="00BA5F50" w:rsidRDefault="00813449" w:rsidP="00813449">
      <w:r>
        <w:t>Les constructions principales, les avant-corps, les balcons, les aménagements en dur et autres éléments semblables, ne peuvent empiéter sur les reculs avant, latéraux et arrière imposés.</w:t>
      </w:r>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Art. 1.6 Construction en seconde position par rapport à la même voie desservante</w:t>
      </w:r>
    </w:p>
    <w:p w14:paraId="3AA5D307" w14:textId="36DD9ABA" w:rsidR="00813449" w:rsidRDefault="00813449" w:rsidP="00813449">
      <w:r>
        <w:t>Les constructions en seconde position par rapport à la même voie desservante,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Art. 1.9 Garages et car-ports</w:t>
      </w:r>
    </w:p>
    <w:p w14:paraId="7D08B2BD" w14:textId="5CEEB52C" w:rsidR="00813449" w:rsidRDefault="00813449" w:rsidP="00813449">
      <w:r>
        <w:t>Les garages hors-sols et les car-ports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Les garages hors-sols et les car-ports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Les garages hors-sols et les car-ports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Art. 1.10 Dépendances autres que les garages et les car-ports</w:t>
      </w:r>
    </w:p>
    <w:p w14:paraId="023185AC" w14:textId="5BD3C522" w:rsidR="00813449" w:rsidRDefault="00813449" w:rsidP="00813449">
      <w:r>
        <w:t>Toutes les dépendances autres que les garages et car-ports,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777F98B2" w:rsidR="00560996" w:rsidRDefault="00560996" w:rsidP="00560996">
      <w:pPr>
        <w:pStyle w:val="Heading1"/>
      </w:pPr>
      <w:r>
        <w:t xml:space="preserve">Art. </w:t>
      </w:r>
      <w:r w:rsidR="00320CFA">
        <w:t>8</w:t>
      </w:r>
      <w:r>
        <w:t xml:space="preserve"> Prescription concernant les quartiers existants situés dans les zones </w:t>
      </w:r>
      <w:r w:rsidR="00597819">
        <w:t xml:space="preserve">de sports et de loisirs – </w:t>
      </w:r>
      <w:r w:rsidR="00320CFA">
        <w:t>Camping</w:t>
      </w:r>
      <w:r w:rsidR="00F00F8A">
        <w:t>-1</w:t>
      </w:r>
      <w:r w:rsidR="00597819">
        <w:t xml:space="preserve"> (REC-</w:t>
      </w:r>
      <w:r w:rsidR="00320CFA">
        <w:t>CAMPING</w:t>
      </w:r>
      <w:r w:rsidR="00F00F8A">
        <w:t>-1</w:t>
      </w:r>
      <w:r w:rsidR="00320CFA">
        <w:t>)</w:t>
      </w:r>
      <w:r w:rsidR="00F00F8A">
        <w:t>, -</w:t>
      </w:r>
      <w:r w:rsidR="00320CFA">
        <w:t>SPORT</w:t>
      </w:r>
      <w:r w:rsidR="00597819">
        <w:t xml:space="preserve"> (REC-</w:t>
      </w:r>
      <w:r w:rsidR="00320CFA">
        <w:t>SPORT</w:t>
      </w:r>
      <w:r w:rsidR="00597819">
        <w:t>)</w:t>
      </w:r>
      <w:r w:rsidR="00F00F8A">
        <w:t xml:space="preserve"> et -Camping-2 (REC-CAMPING-2)</w:t>
      </w:r>
    </w:p>
    <w:p w14:paraId="5224A4AB" w14:textId="4072A7C2" w:rsidR="00560996" w:rsidRDefault="00560996" w:rsidP="00560996">
      <w:pPr>
        <w:pStyle w:val="Heading2"/>
      </w:pPr>
      <w:r>
        <w:t xml:space="preserve">Art. </w:t>
      </w:r>
      <w:r w:rsidR="00320CFA">
        <w:t>8</w:t>
      </w:r>
      <w:r>
        <w:t>.1 Type et disposition des constructions</w:t>
      </w:r>
    </w:p>
    <w:p w14:paraId="5E21AF57" w14:textId="51526104" w:rsidR="00560996" w:rsidRDefault="00320CFA" w:rsidP="00597819">
      <w:r w:rsidRPr="00320CFA">
        <w:t>La disposition des constructions doit être en ordre non contigu.</w:t>
      </w:r>
    </w:p>
    <w:p w14:paraId="2B7FC765" w14:textId="1D9DA82D" w:rsidR="00560996" w:rsidRDefault="00560996" w:rsidP="00560996">
      <w:pPr>
        <w:pStyle w:val="Heading2"/>
      </w:pPr>
      <w:r>
        <w:t>A</w:t>
      </w:r>
      <w:r w:rsidR="000C029C">
        <w:t xml:space="preserve">rt. </w:t>
      </w:r>
      <w:r w:rsidR="00320CFA">
        <w:t>8</w:t>
      </w:r>
      <w:r>
        <w:t>.2 Reculs par rapport aux limites parcellaires</w:t>
      </w:r>
    </w:p>
    <w:p w14:paraId="43EE4E63" w14:textId="512F32BB" w:rsidR="00320CFA" w:rsidRDefault="00320CFA" w:rsidP="00320CFA">
      <w:r>
        <w:t>Les reculs entre la limite de la surface constructible autorisée et les limites parcellaires doivent être de min. 6,00 m quel que soit le côté.</w:t>
      </w:r>
    </w:p>
    <w:p w14:paraId="1AC95443" w14:textId="2842141E" w:rsidR="00560996" w:rsidRDefault="00320CFA" w:rsidP="00320CFA">
      <w:r>
        <w:t>La mitoyenneté est interdite.</w:t>
      </w:r>
    </w:p>
    <w:p w14:paraId="082BF6F0" w14:textId="630E87D8" w:rsidR="00560996" w:rsidRDefault="00560996" w:rsidP="00560996">
      <w:pPr>
        <w:pStyle w:val="Heading2"/>
      </w:pPr>
      <w:r>
        <w:t>Art.</w:t>
      </w:r>
      <w:r w:rsidRPr="00560996">
        <w:t xml:space="preserve"> </w:t>
      </w:r>
      <w:r w:rsidR="00320CFA">
        <w:t>8</w:t>
      </w:r>
      <w:r w:rsidRPr="00560996">
        <w:t>.3 Dimensions minimales et maximales d’une construction</w:t>
      </w:r>
    </w:p>
    <w:tbl>
      <w:tblPr>
        <w:tblStyle w:val="TableGrid"/>
        <w:tblW w:w="0" w:type="auto"/>
        <w:tblInd w:w="988" w:type="dxa"/>
        <w:tblLook w:val="04A0" w:firstRow="1" w:lastRow="0" w:firstColumn="1" w:lastColumn="0" w:noHBand="0" w:noVBand="1"/>
      </w:tblPr>
      <w:tblGrid>
        <w:gridCol w:w="1260"/>
        <w:gridCol w:w="2169"/>
        <w:gridCol w:w="2241"/>
      </w:tblGrid>
      <w:tr w:rsidR="00AF2B71" w:rsidRPr="00560996" w14:paraId="33B99315" w14:textId="77777777" w:rsidTr="00AF2B71">
        <w:trPr>
          <w:trHeight w:val="782"/>
        </w:trPr>
        <w:tc>
          <w:tcPr>
            <w:tcW w:w="1260" w:type="dxa"/>
            <w:shd w:val="clear" w:color="auto" w:fill="BFBFBF" w:themeFill="background1" w:themeFillShade="BF"/>
            <w:vAlign w:val="center"/>
          </w:tcPr>
          <w:p w14:paraId="091463C8" w14:textId="60056A15" w:rsidR="00AF2B71" w:rsidRPr="00560996" w:rsidRDefault="00AF2B71" w:rsidP="00560996">
            <w:pPr>
              <w:pStyle w:val="NormalTableau"/>
              <w:jc w:val="center"/>
              <w:rPr>
                <w:b/>
                <w:u w:val="single"/>
              </w:rPr>
            </w:pPr>
            <w:r w:rsidRPr="00560996">
              <w:rPr>
                <w:b/>
                <w:u w:val="single"/>
              </w:rPr>
              <w:t>Types de construction</w:t>
            </w:r>
          </w:p>
        </w:tc>
        <w:tc>
          <w:tcPr>
            <w:tcW w:w="2169" w:type="dxa"/>
            <w:shd w:val="clear" w:color="auto" w:fill="BFBFBF" w:themeFill="background1" w:themeFillShade="BF"/>
            <w:vAlign w:val="center"/>
          </w:tcPr>
          <w:p w14:paraId="5C69678B" w14:textId="7EB9D38F" w:rsidR="00AF2B71" w:rsidRPr="00560996" w:rsidRDefault="00AF2B71" w:rsidP="00560996">
            <w:pPr>
              <w:pStyle w:val="NormalTableau"/>
              <w:jc w:val="center"/>
              <w:rPr>
                <w:b/>
                <w:u w:val="single"/>
              </w:rPr>
            </w:pPr>
            <w:r w:rsidRPr="00560996">
              <w:rPr>
                <w:b/>
                <w:u w:val="single"/>
              </w:rPr>
              <w:t>Dimension maximale autorisée du côté le plus étroit d’une construction</w:t>
            </w:r>
          </w:p>
        </w:tc>
        <w:tc>
          <w:tcPr>
            <w:tcW w:w="2241" w:type="dxa"/>
            <w:shd w:val="clear" w:color="auto" w:fill="BFBFBF" w:themeFill="background1" w:themeFillShade="BF"/>
            <w:vAlign w:val="center"/>
          </w:tcPr>
          <w:p w14:paraId="52B6391B" w14:textId="20B33356" w:rsidR="00AF2B71" w:rsidRPr="00560996" w:rsidRDefault="00AF2B71" w:rsidP="00560996">
            <w:pPr>
              <w:pStyle w:val="NormalTableau"/>
              <w:jc w:val="center"/>
              <w:rPr>
                <w:b/>
                <w:u w:val="single"/>
              </w:rPr>
            </w:pPr>
            <w:r w:rsidRPr="00560996">
              <w:rPr>
                <w:b/>
                <w:u w:val="single"/>
              </w:rPr>
              <w:t>Dimension maximale autorisée du côté le plus long d’une construction</w:t>
            </w:r>
          </w:p>
        </w:tc>
      </w:tr>
      <w:tr w:rsidR="00AF2B71" w:rsidRPr="00560996" w14:paraId="57DECA2B" w14:textId="77777777" w:rsidTr="00AF2B71">
        <w:trPr>
          <w:trHeight w:val="236"/>
        </w:trPr>
        <w:tc>
          <w:tcPr>
            <w:tcW w:w="1260" w:type="dxa"/>
            <w:vAlign w:val="center"/>
          </w:tcPr>
          <w:p w14:paraId="17C73809" w14:textId="77777777" w:rsidR="00AF2B71" w:rsidRPr="00560996" w:rsidRDefault="00AF2B71" w:rsidP="000C029C">
            <w:pPr>
              <w:pStyle w:val="NormalTableau"/>
              <w:jc w:val="left"/>
            </w:pPr>
          </w:p>
        </w:tc>
        <w:tc>
          <w:tcPr>
            <w:tcW w:w="2169" w:type="dxa"/>
            <w:vAlign w:val="center"/>
          </w:tcPr>
          <w:p w14:paraId="50BD760E" w14:textId="0E6A6A68" w:rsidR="00AF2B71" w:rsidRPr="00560996" w:rsidRDefault="00AF2B71" w:rsidP="000C029C">
            <w:pPr>
              <w:pStyle w:val="NormalTableau"/>
              <w:jc w:val="left"/>
            </w:pPr>
            <w:r w:rsidRPr="00560996">
              <w:t xml:space="preserve">min. </w:t>
            </w:r>
            <w:r>
              <w:t>1</w:t>
            </w:r>
            <w:r w:rsidRPr="00560996">
              <w:t>6,00 m</w:t>
            </w:r>
          </w:p>
        </w:tc>
        <w:tc>
          <w:tcPr>
            <w:tcW w:w="2241" w:type="dxa"/>
            <w:vAlign w:val="center"/>
          </w:tcPr>
          <w:p w14:paraId="74F43694" w14:textId="5EA2A4BD" w:rsidR="00AF2B71" w:rsidRPr="00560996" w:rsidRDefault="00AF2B71" w:rsidP="000C029C">
            <w:pPr>
              <w:pStyle w:val="NormalTableau"/>
              <w:jc w:val="left"/>
            </w:pPr>
            <w:r>
              <w:t>max. 5</w:t>
            </w:r>
            <w:r w:rsidRPr="00560996">
              <w:t>0,00 m</w:t>
            </w:r>
          </w:p>
        </w:tc>
      </w:tr>
    </w:tbl>
    <w:p w14:paraId="049C981D" w14:textId="6C7746B6" w:rsidR="00560996" w:rsidRDefault="00560996" w:rsidP="00560996"/>
    <w:p w14:paraId="2EF5806D" w14:textId="06AA1842" w:rsidR="00560996" w:rsidRDefault="000C029C" w:rsidP="00560996">
      <w:pPr>
        <w:pStyle w:val="Heading2"/>
      </w:pPr>
      <w:r>
        <w:t xml:space="preserve">Art. </w:t>
      </w:r>
      <w:r w:rsidR="00320CFA">
        <w:t>8</w:t>
      </w:r>
      <w:r w:rsidR="0024541D">
        <w:t>.</w:t>
      </w:r>
      <w:r w:rsidR="00560996">
        <w:t>4 Hauteurs à la corniche, à l’acrotère et au faîte</w:t>
      </w:r>
    </w:p>
    <w:p w14:paraId="63ABFEA1" w14:textId="53DA2E96" w:rsidR="00560996" w:rsidRDefault="00320CFA" w:rsidP="00320CFA">
      <w:r>
        <w:t>La hauteur à la corniche des constructions principales, doit être inférieure à max. 7,00 m au-dessus de la cote de l’axe de la voie desservante.</w:t>
      </w:r>
    </w:p>
    <w:p w14:paraId="58546378" w14:textId="741534BE" w:rsidR="00560996" w:rsidRDefault="00560996" w:rsidP="00560996">
      <w:pPr>
        <w:pStyle w:val="Heading2"/>
      </w:pPr>
      <w:r>
        <w:t xml:space="preserve">Art. </w:t>
      </w:r>
      <w:r w:rsidR="00320CFA">
        <w:t>8</w:t>
      </w:r>
      <w:r>
        <w:t>.5 Nombre de constructions</w:t>
      </w:r>
    </w:p>
    <w:p w14:paraId="3878CB89" w14:textId="75412C4C" w:rsidR="00560996" w:rsidRDefault="00320CFA" w:rsidP="00597819">
      <w:r w:rsidRPr="00320CFA">
        <w:t>Le nombre de constructions principales hors-sols par parcelle, n’est pas limité.</w:t>
      </w:r>
    </w:p>
    <w:p w14:paraId="0D25118D" w14:textId="10CC5E0F" w:rsidR="00560996" w:rsidRDefault="00560996" w:rsidP="00560996">
      <w:pPr>
        <w:pStyle w:val="Heading2"/>
      </w:pPr>
      <w:r>
        <w:t xml:space="preserve">Art. </w:t>
      </w:r>
      <w:r w:rsidR="00320CFA">
        <w:t>8</w:t>
      </w:r>
      <w:r w:rsidR="00AF2B71">
        <w:t>.6</w:t>
      </w:r>
      <w:r>
        <w:t xml:space="preserve"> Accès carrossables</w:t>
      </w:r>
    </w:p>
    <w:p w14:paraId="59BA2953" w14:textId="13C6BC3A" w:rsidR="00597819" w:rsidRPr="00560996" w:rsidRDefault="00320CFA" w:rsidP="00320CFA">
      <w:r>
        <w:t>La largeur des accès carrossables cumulés doit être inférieure à max. 50% de la largeur de la parcelle sur l’alignement de voirie, sans tenir compte des rayons de braquage. La largeur d’un accès carrossable doit être inférieure à max. 8,00 m.</w:t>
      </w:r>
    </w:p>
    <w:sectPr w:rsidR="00597819"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0E01ED"/>
    <w:multiLevelType w:val="hybridMultilevel"/>
    <w:tmpl w:val="02E44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A61033"/>
    <w:multiLevelType w:val="hybridMultilevel"/>
    <w:tmpl w:val="6706C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39101D2"/>
    <w:multiLevelType w:val="hybridMultilevel"/>
    <w:tmpl w:val="0F684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1351BE"/>
    <w:multiLevelType w:val="hybridMultilevel"/>
    <w:tmpl w:val="6E9CE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14709886">
    <w:abstractNumId w:val="10"/>
  </w:num>
  <w:num w:numId="2" w16cid:durableId="1912345194">
    <w:abstractNumId w:val="15"/>
  </w:num>
  <w:num w:numId="3" w16cid:durableId="902325537">
    <w:abstractNumId w:val="18"/>
  </w:num>
  <w:num w:numId="4" w16cid:durableId="2099475372">
    <w:abstractNumId w:val="1"/>
  </w:num>
  <w:num w:numId="5" w16cid:durableId="1071192172">
    <w:abstractNumId w:val="2"/>
  </w:num>
  <w:num w:numId="6" w16cid:durableId="1237278092">
    <w:abstractNumId w:val="7"/>
  </w:num>
  <w:num w:numId="7" w16cid:durableId="721055169">
    <w:abstractNumId w:val="9"/>
  </w:num>
  <w:num w:numId="8" w16cid:durableId="1321235419">
    <w:abstractNumId w:val="8"/>
  </w:num>
  <w:num w:numId="9" w16cid:durableId="1250851205">
    <w:abstractNumId w:val="19"/>
  </w:num>
  <w:num w:numId="10" w16cid:durableId="494611691">
    <w:abstractNumId w:val="11"/>
  </w:num>
  <w:num w:numId="11" w16cid:durableId="383601028">
    <w:abstractNumId w:val="4"/>
  </w:num>
  <w:num w:numId="12" w16cid:durableId="64306733">
    <w:abstractNumId w:val="16"/>
  </w:num>
  <w:num w:numId="13" w16cid:durableId="433668904">
    <w:abstractNumId w:val="6"/>
  </w:num>
  <w:num w:numId="14" w16cid:durableId="688139097">
    <w:abstractNumId w:val="14"/>
  </w:num>
  <w:num w:numId="15" w16cid:durableId="1957784126">
    <w:abstractNumId w:val="13"/>
  </w:num>
  <w:num w:numId="16" w16cid:durableId="1122991628">
    <w:abstractNumId w:val="3"/>
  </w:num>
  <w:num w:numId="17" w16cid:durableId="433481099">
    <w:abstractNumId w:val="21"/>
  </w:num>
  <w:num w:numId="18" w16cid:durableId="626862996">
    <w:abstractNumId w:val="0"/>
  </w:num>
  <w:num w:numId="19" w16cid:durableId="2105805976">
    <w:abstractNumId w:val="20"/>
  </w:num>
  <w:num w:numId="20" w16cid:durableId="1942253278">
    <w:abstractNumId w:val="5"/>
  </w:num>
  <w:num w:numId="21" w16cid:durableId="443231265">
    <w:abstractNumId w:val="12"/>
  </w:num>
  <w:num w:numId="22" w16cid:durableId="4592263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C029C"/>
    <w:rsid w:val="00184144"/>
    <w:rsid w:val="0024541D"/>
    <w:rsid w:val="00320CFA"/>
    <w:rsid w:val="00387019"/>
    <w:rsid w:val="0039622D"/>
    <w:rsid w:val="00397462"/>
    <w:rsid w:val="003A681A"/>
    <w:rsid w:val="00492EFD"/>
    <w:rsid w:val="00560996"/>
    <w:rsid w:val="00597819"/>
    <w:rsid w:val="005D1D9B"/>
    <w:rsid w:val="006605E2"/>
    <w:rsid w:val="006653E2"/>
    <w:rsid w:val="006B0ABB"/>
    <w:rsid w:val="00732511"/>
    <w:rsid w:val="007B41C9"/>
    <w:rsid w:val="007B5125"/>
    <w:rsid w:val="007D461A"/>
    <w:rsid w:val="00813449"/>
    <w:rsid w:val="008A46DB"/>
    <w:rsid w:val="009D6555"/>
    <w:rsid w:val="00A610F9"/>
    <w:rsid w:val="00AD5B20"/>
    <w:rsid w:val="00AF2B71"/>
    <w:rsid w:val="00B11E93"/>
    <w:rsid w:val="00B208F3"/>
    <w:rsid w:val="00BA5F50"/>
    <w:rsid w:val="00C10C63"/>
    <w:rsid w:val="00C85115"/>
    <w:rsid w:val="00CB2FE8"/>
    <w:rsid w:val="00CF3132"/>
    <w:rsid w:val="00D35FE3"/>
    <w:rsid w:val="00EA7952"/>
    <w:rsid w:val="00EB23F4"/>
    <w:rsid w:val="00F00F8A"/>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1859</Words>
  <Characters>10598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28</cp:revision>
  <dcterms:created xsi:type="dcterms:W3CDTF">2019-11-19T06:33:00Z</dcterms:created>
  <dcterms:modified xsi:type="dcterms:W3CDTF">2025-11-06T14:58:00Z</dcterms:modified>
</cp:coreProperties>
</file>