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70E94" w14:textId="4C73829F" w:rsidR="00D12D9A" w:rsidRDefault="00D12D9A" w:rsidP="00D12D9A">
      <w:pPr>
        <w:pStyle w:val="Heading1"/>
      </w:pPr>
      <w:r>
        <w:t>Art. 9 Zone d’activités économiques communale type 2 [ECO-c2]</w:t>
      </w:r>
    </w:p>
    <w:p w14:paraId="0357E905" w14:textId="4EC10844" w:rsidR="00297022" w:rsidRDefault="00D12D9A" w:rsidP="00D12D9A">
      <w:r>
        <w:t>La zone d’activités économiques communale type 2 est réservée aux établissements industriels et aux activités de production, d’assemblage et de transformation, ainsi qu’aux équipements collectifs techniques.</w:t>
      </w:r>
      <w:bookmarkStart w:id="0" w:name="_GoBack"/>
      <w:bookmarkEnd w:id="0"/>
    </w:p>
    <w:p w14:paraId="0D620C00" w14:textId="2177A58C" w:rsidR="00D12D9A" w:rsidRDefault="00D12D9A" w:rsidP="00D12D9A">
      <w:r>
        <w:t>Y sont admis:</w:t>
      </w:r>
    </w:p>
    <w:p w14:paraId="1F356961" w14:textId="77777777" w:rsidR="00D12D9A" w:rsidRDefault="00D12D9A" w:rsidP="00D12D9A">
      <w:pPr>
        <w:pStyle w:val="ListParagraph"/>
        <w:numPr>
          <w:ilvl w:val="0"/>
          <w:numId w:val="7"/>
        </w:numPr>
      </w:pPr>
      <w:r>
        <w:t>des établissements de restauration en relation directe avec les besoins de la zone concernée, et</w:t>
      </w:r>
    </w:p>
    <w:p w14:paraId="78B17BCD" w14:textId="72747ED2" w:rsidR="00D12D9A" w:rsidRDefault="00D12D9A" w:rsidP="00CF4531">
      <w:pPr>
        <w:pStyle w:val="ListParagraph"/>
        <w:numPr>
          <w:ilvl w:val="0"/>
          <w:numId w:val="7"/>
        </w:numPr>
      </w:pPr>
      <w:r>
        <w:t>des activités de prestations de services commerciaux ou artisanaux liées aux activités de la zone concernée.</w:t>
      </w:r>
    </w:p>
    <w:p w14:paraId="0536C3FB" w14:textId="7360A748" w:rsidR="00D12D9A" w:rsidRDefault="00D12D9A" w:rsidP="00D12D9A">
      <w:r>
        <w:t>Le stockage de marchandises ou de matériaux n’est autorisé que complémentairement à l’activité principale.</w:t>
      </w:r>
    </w:p>
    <w:p w14:paraId="38FDEE07" w14:textId="7B4454CA" w:rsidR="006605E2" w:rsidRDefault="00D12D9A" w:rsidP="00D12D9A">
      <w:r>
        <w:t>L’implantation de nouvelles stations – service et de nouveaux postes de carburant y sont interdits. Seuls des nouveaux équipements de recharge électrique sont admis.</w:t>
      </w:r>
    </w:p>
    <w:p w14:paraId="688C8293" w14:textId="344E85C8" w:rsidR="00374143" w:rsidRDefault="00374143" w:rsidP="00374143">
      <w:r>
        <w:t>La rénovation, la mise aux normes, la transformation et la reconstruction des stations – service et de postes de carburant existants sont autorisées.</w:t>
      </w:r>
    </w:p>
    <w:p w14:paraId="0775CCA9" w14:textId="767F17BB" w:rsidR="00374143" w:rsidRDefault="00374143" w:rsidP="00374143">
      <w:r>
        <w:t>Y est également admis un logement de service à l’usage du personnel dont la présence permanente est nécessaire pour assurer la direction ou la surveillance d’une entreprise particulière. Ce logement est à intégrer dans le corps même de la construction.</w:t>
      </w:r>
    </w:p>
    <w:p w14:paraId="7947EBDE" w14:textId="77777777" w:rsidR="00EA0C6E" w:rsidRDefault="00EA0C6E" w:rsidP="00EA0C6E">
      <w:pPr>
        <w:pStyle w:val="Heading1"/>
      </w:pPr>
      <w:r>
        <w:t>Art. 13 Règles applicables à toutes les zones urbanisées</w:t>
      </w:r>
    </w:p>
    <w:p w14:paraId="04BE66D6" w14:textId="517DA0DF" w:rsidR="00EA0C6E" w:rsidRPr="007D461A" w:rsidRDefault="00EA0C6E" w:rsidP="00374143">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EA0C6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9E4407"/>
    <w:multiLevelType w:val="hybridMultilevel"/>
    <w:tmpl w:val="F7529D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97022"/>
    <w:rsid w:val="00374143"/>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12D9A"/>
    <w:rsid w:val="00D35FE3"/>
    <w:rsid w:val="00EA0C6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12592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2023-03-17T07:22:00Z</dcterms:modified>
</cp:coreProperties>
</file>