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7508369E" w:rsidR="006605E2" w:rsidRPr="00084FAB" w:rsidRDefault="00084FAB" w:rsidP="00084FAB">
      <w:pPr>
        <w:pStyle w:val="Heading1"/>
      </w:pPr>
      <w:r w:rsidRPr="00084FAB">
        <w:t>Art. 8 Zone d’activités économiques régionale – type 2</w:t>
      </w:r>
    </w:p>
    <w:p w14:paraId="4BECBF32" w14:textId="0A9942FB" w:rsidR="00084FAB" w:rsidRPr="00084FAB" w:rsidRDefault="00084FAB" w:rsidP="00084FAB">
      <w:pPr>
        <w:rPr>
          <w:lang w:val="fr-FR"/>
        </w:rPr>
      </w:pPr>
      <w:r w:rsidRPr="00084FAB">
        <w:rPr>
          <w:lang w:val="fr-FR"/>
        </w:rPr>
        <w:t xml:space="preserve">La zone d’activités économiques régionale </w:t>
      </w:r>
      <w:r>
        <w:rPr>
          <w:lang w:val="fr-FR"/>
        </w:rPr>
        <w:t>« </w:t>
      </w:r>
      <w:proofErr w:type="spellStart"/>
      <w:r w:rsidRPr="00084FAB">
        <w:rPr>
          <w:lang w:val="fr-FR"/>
        </w:rPr>
        <w:t>Fridhaff</w:t>
      </w:r>
      <w:proofErr w:type="spellEnd"/>
      <w:r>
        <w:rPr>
          <w:lang w:val="fr-FR"/>
        </w:rPr>
        <w:t xml:space="preserve"> » </w:t>
      </w:r>
      <w:r w:rsidRPr="00084FAB">
        <w:rPr>
          <w:lang w:val="fr-FR"/>
        </w:rPr>
        <w:t xml:space="preserve">type 2 est gérée, au nom des communes concernées, par le Syndicat intercommunal pour la création, l’aménagement, la promotion et l’exploitation de zones d’activités économiques sur le territoire des communes de la </w:t>
      </w:r>
      <w:proofErr w:type="spellStart"/>
      <w:r w:rsidRPr="00084FAB">
        <w:rPr>
          <w:lang w:val="fr-FR"/>
        </w:rPr>
        <w:t>Nordstad</w:t>
      </w:r>
      <w:proofErr w:type="spellEnd"/>
      <w:r w:rsidRPr="00084FAB">
        <w:rPr>
          <w:lang w:val="fr-FR"/>
        </w:rPr>
        <w:t xml:space="preserve"> ZANO</w:t>
      </w:r>
      <w:r>
        <w:rPr>
          <w:lang w:val="fr-FR"/>
        </w:rPr>
        <w:t xml:space="preserve"> (</w:t>
      </w:r>
      <w:r w:rsidRPr="00084FAB">
        <w:rPr>
          <w:i/>
          <w:lang w:val="fr-FR"/>
        </w:rPr>
        <w:t>Arrêté grand-ducal du 10 décembre 2010, Mémorial A n°3 du 11 janvier 2011</w:t>
      </w:r>
      <w:r>
        <w:rPr>
          <w:lang w:val="fr-FR"/>
        </w:rPr>
        <w:t>)</w:t>
      </w:r>
      <w:r w:rsidRPr="00084FAB">
        <w:rPr>
          <w:lang w:val="fr-FR"/>
        </w:rPr>
        <w:t>.</w:t>
      </w:r>
    </w:p>
    <w:p w14:paraId="546FCA70" w14:textId="671AFCF4" w:rsidR="00084FAB" w:rsidRPr="00084FAB" w:rsidRDefault="00084FAB" w:rsidP="00084FAB">
      <w:pPr>
        <w:rPr>
          <w:lang w:val="fr-FR"/>
        </w:rPr>
      </w:pPr>
      <w:r w:rsidRPr="00084FAB">
        <w:rPr>
          <w:lang w:val="fr-FR"/>
        </w:rPr>
        <w:t>La zone d’activités économiques régionale type 2 (ECO-r2) est réservée aux activités admises dans la zone d’activités économiques à caractère régional type 1, soit activités industrielles légères, artisanales, de commerces de gros, de transport ou de logistique ainsi qu’aux activités de commerce de détail, limitées à une surface de vente de 2.000m</w:t>
      </w:r>
      <w:r w:rsidRPr="00084FAB">
        <w:rPr>
          <w:vertAlign w:val="superscript"/>
          <w:lang w:val="fr-FR"/>
        </w:rPr>
        <w:t>2</w:t>
      </w:r>
      <w:r w:rsidRPr="00084FAB">
        <w:rPr>
          <w:lang w:val="fr-FR"/>
        </w:rPr>
        <w:t xml:space="preserve"> par immeuble bâti, et aux services administratifs ou professionnels jusqu’à une surface construite brute maximale de 3.500m</w:t>
      </w:r>
      <w:r w:rsidRPr="00084FAB">
        <w:rPr>
          <w:vertAlign w:val="superscript"/>
          <w:lang w:val="fr-FR"/>
        </w:rPr>
        <w:t>2</w:t>
      </w:r>
      <w:r w:rsidRPr="00084FAB">
        <w:rPr>
          <w:lang w:val="fr-FR"/>
        </w:rPr>
        <w:t xml:space="preserve"> par immeuble bâti, qui de par leur envergure ou leur caractère, ne sont pas compatibles avec les zones d’habitation et les zones mixtes.</w:t>
      </w:r>
    </w:p>
    <w:p w14:paraId="5FB60C64" w14:textId="77777777" w:rsidR="00084FAB" w:rsidRPr="00084FAB" w:rsidRDefault="00084FAB" w:rsidP="00084FAB">
      <w:pPr>
        <w:rPr>
          <w:lang w:val="fr-FR"/>
        </w:rPr>
      </w:pPr>
      <w:r w:rsidRPr="00084FAB">
        <w:rPr>
          <w:lang w:val="fr-FR"/>
        </w:rPr>
        <w:t>Y peuvent être admis des établissements de restauration en relation directe avec les besoins de la zone concernée, ainsi que des prestations de service liées aux activités de la zone.</w:t>
      </w:r>
    </w:p>
    <w:p w14:paraId="66065322" w14:textId="77777777" w:rsidR="00084FAB" w:rsidRPr="00084FAB" w:rsidRDefault="00084FAB" w:rsidP="00084FAB">
      <w:pPr>
        <w:rPr>
          <w:lang w:val="fr-FR"/>
        </w:rPr>
      </w:pPr>
      <w:r w:rsidRPr="00084FAB">
        <w:rPr>
          <w:lang w:val="fr-FR"/>
        </w:rPr>
        <w:t>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p w14:paraId="1BB03464" w14:textId="4C9498B4" w:rsidR="00084FAB" w:rsidRPr="00084FAB" w:rsidRDefault="00084FAB" w:rsidP="00084FAB">
      <w:pPr>
        <w:rPr>
          <w:lang w:val="fr-FR"/>
        </w:rPr>
      </w:pPr>
      <w:r w:rsidRPr="00084FAB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084FAB">
        <w:rPr>
          <w:lang w:val="fr-FR"/>
        </w:rPr>
        <w:t>nouveau quartier</w:t>
      </w:r>
      <w:r>
        <w:rPr>
          <w:lang w:val="fr-FR"/>
        </w:rPr>
        <w:t> »</w:t>
      </w:r>
      <w:r w:rsidRPr="00084FAB">
        <w:rPr>
          <w:lang w:val="fr-FR"/>
        </w:rPr>
        <w:t>, exécutant une zone d’activit</w:t>
      </w:r>
      <w:r>
        <w:rPr>
          <w:lang w:val="fr-FR"/>
        </w:rPr>
        <w:t>és économiques régionale type 2</w:t>
      </w:r>
      <w:r w:rsidRPr="00084FAB">
        <w:rPr>
          <w:lang w:val="fr-FR"/>
        </w:rPr>
        <w:t>:</w:t>
      </w:r>
    </w:p>
    <w:p w14:paraId="3418A7A9" w14:textId="43A1775E" w:rsidR="00084FAB" w:rsidRPr="00084FAB" w:rsidRDefault="00084FAB" w:rsidP="00084FAB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084FAB">
        <w:rPr>
          <w:lang w:val="fr-FR"/>
        </w:rPr>
        <w:t>au</w:t>
      </w:r>
      <w:proofErr w:type="gramEnd"/>
      <w:r w:rsidRPr="00084FAB">
        <w:rPr>
          <w:lang w:val="fr-FR"/>
        </w:rPr>
        <w:t xml:space="preserve"> maximum 10% de la surface construite brute de la zone d’activités peuvent être réservés à des activités de commerce de détail.</w:t>
      </w:r>
    </w:p>
    <w:p w14:paraId="51ECF9A5" w14:textId="767BCB6D" w:rsidR="00084FAB" w:rsidRPr="00084FAB" w:rsidRDefault="00084FAB" w:rsidP="00084FAB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084FAB">
        <w:rPr>
          <w:lang w:val="fr-FR"/>
        </w:rPr>
        <w:t>les</w:t>
      </w:r>
      <w:proofErr w:type="gramEnd"/>
      <w:r w:rsidRPr="00084FAB">
        <w:rPr>
          <w:lang w:val="fr-FR"/>
        </w:rPr>
        <w:t xml:space="preserve"> services administratifs ou professionnels ne peuvent pas dépasser 20% de la surface construite brute de la zone.</w:t>
      </w:r>
    </w:p>
    <w:p w14:paraId="1D5EC61A" w14:textId="493BFE79" w:rsidR="00084FAB" w:rsidRPr="00084FAB" w:rsidRDefault="00084FAB" w:rsidP="00084FAB">
      <w:pPr>
        <w:pStyle w:val="ListParagraph"/>
        <w:numPr>
          <w:ilvl w:val="0"/>
          <w:numId w:val="8"/>
        </w:numPr>
        <w:rPr>
          <w:lang w:val="fr-FR"/>
        </w:rPr>
      </w:pPr>
      <w:r w:rsidRPr="00084FAB">
        <w:rPr>
          <w:lang w:val="fr-FR"/>
        </w:rPr>
        <w:t>La zone vise un aménagement écologique et notamment le re</w:t>
      </w:r>
      <w:r>
        <w:rPr>
          <w:lang w:val="fr-FR"/>
        </w:rPr>
        <w:t>spect des trois points suivants</w:t>
      </w:r>
      <w:r w:rsidRPr="00084FAB">
        <w:rPr>
          <w:lang w:val="fr-FR"/>
        </w:rPr>
        <w:t>:</w:t>
      </w:r>
    </w:p>
    <w:p w14:paraId="35EDEBA6" w14:textId="77777777" w:rsidR="00084FAB" w:rsidRDefault="00084FAB" w:rsidP="00084FAB">
      <w:pPr>
        <w:pStyle w:val="ListParagraph"/>
        <w:numPr>
          <w:ilvl w:val="0"/>
          <w:numId w:val="9"/>
        </w:numPr>
        <w:rPr>
          <w:lang w:val="fr-FR"/>
        </w:rPr>
      </w:pPr>
      <w:r w:rsidRPr="00084FAB">
        <w:rPr>
          <w:lang w:val="fr-FR"/>
        </w:rPr>
        <w:t>Seule est autorisée la plantation d’essences</w:t>
      </w:r>
      <w:r>
        <w:rPr>
          <w:lang w:val="fr-FR"/>
        </w:rPr>
        <w:t xml:space="preserve"> d’arbres et arbustes indigènes</w:t>
      </w:r>
      <w:r w:rsidRPr="00084FAB">
        <w:rPr>
          <w:lang w:val="fr-FR"/>
        </w:rPr>
        <w:t>;</w:t>
      </w:r>
    </w:p>
    <w:p w14:paraId="5D057536" w14:textId="77777777" w:rsidR="00084FAB" w:rsidRDefault="00084FAB" w:rsidP="00084FAB">
      <w:pPr>
        <w:pStyle w:val="ListParagraph"/>
        <w:numPr>
          <w:ilvl w:val="0"/>
          <w:numId w:val="9"/>
        </w:numPr>
        <w:rPr>
          <w:lang w:val="fr-FR"/>
        </w:rPr>
      </w:pPr>
      <w:r w:rsidRPr="00084FAB">
        <w:rPr>
          <w:lang w:val="fr-FR"/>
        </w:rPr>
        <w:t>Les aires de stationnement public sont aménagées s</w:t>
      </w:r>
      <w:r>
        <w:rPr>
          <w:lang w:val="fr-FR"/>
        </w:rPr>
        <w:t>ous forme de parking écologique</w:t>
      </w:r>
      <w:r w:rsidRPr="00084FAB">
        <w:rPr>
          <w:lang w:val="fr-FR"/>
        </w:rPr>
        <w:t>;</w:t>
      </w:r>
    </w:p>
    <w:p w14:paraId="57245318" w14:textId="356E802B" w:rsidR="00084FAB" w:rsidRDefault="00084FAB" w:rsidP="00084FAB">
      <w:pPr>
        <w:pStyle w:val="ListParagraph"/>
        <w:numPr>
          <w:ilvl w:val="0"/>
          <w:numId w:val="9"/>
        </w:numPr>
        <w:rPr>
          <w:lang w:val="fr-FR"/>
        </w:rPr>
      </w:pPr>
      <w:r w:rsidRPr="00084FAB">
        <w:rPr>
          <w:lang w:val="fr-FR"/>
        </w:rPr>
        <w:t>L’éclairage des zones naturelles situées à l’extérieur de la zone d’activité et à partir de celle-ci est proscrit. L’éclairage des zones tampons est également interdit.</w:t>
      </w:r>
    </w:p>
    <w:p w14:paraId="6B37CC82" w14:textId="1508C368" w:rsidR="00084FAB" w:rsidRPr="00084FAB" w:rsidRDefault="00084FAB" w:rsidP="00084FAB">
      <w:pPr>
        <w:pStyle w:val="ListParagraph"/>
        <w:ind w:left="1440"/>
        <w:rPr>
          <w:lang w:val="fr-FR"/>
        </w:rPr>
      </w:pPr>
      <w:r w:rsidRPr="00084FAB">
        <w:rPr>
          <w:lang w:val="fr-FR"/>
        </w:rPr>
        <w:t xml:space="preserve">Le détail de l’aménagement et des plantations à réaliser (notamment ceux relatifs à la zone tampon) sera défini dans le cadre du manuel écologique associé au plan d’aménagement particulier </w:t>
      </w:r>
      <w:r>
        <w:rPr>
          <w:lang w:val="fr-FR"/>
        </w:rPr>
        <w:t>« </w:t>
      </w:r>
      <w:r w:rsidRPr="00084FAB">
        <w:rPr>
          <w:lang w:val="fr-FR"/>
        </w:rPr>
        <w:t>Nouveau Quartier</w:t>
      </w:r>
      <w:r>
        <w:rPr>
          <w:lang w:val="fr-FR"/>
        </w:rPr>
        <w:t> »</w:t>
      </w:r>
      <w:bookmarkStart w:id="0" w:name="_GoBack"/>
      <w:bookmarkEnd w:id="0"/>
      <w:r w:rsidRPr="00084FAB">
        <w:rPr>
          <w:lang w:val="fr-FR"/>
        </w:rPr>
        <w:t>.</w:t>
      </w:r>
    </w:p>
    <w:sectPr w:rsidR="00084FAB" w:rsidRPr="00084F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C0B64"/>
    <w:multiLevelType w:val="hybridMultilevel"/>
    <w:tmpl w:val="520C08B2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E0397"/>
    <w:multiLevelType w:val="hybridMultilevel"/>
    <w:tmpl w:val="CF30124E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B51A1"/>
    <w:multiLevelType w:val="hybridMultilevel"/>
    <w:tmpl w:val="A3127382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4FA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2024-04-17T04:50:00Z</dcterms:modified>
</cp:coreProperties>
</file>