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5F78D" w14:textId="2A0A4475" w:rsidR="00A773D7" w:rsidRDefault="00A773D7" w:rsidP="00A773D7">
      <w:pPr>
        <w:pStyle w:val="Title"/>
      </w:pPr>
      <w:r>
        <w:t xml:space="preserve">J. Règles spécifiques applicables au PAP </w:t>
      </w:r>
      <w:r>
        <w:t>« </w:t>
      </w:r>
      <w:r>
        <w:t>quartier existant – zone spéciale</w:t>
      </w:r>
      <w:r>
        <w:t> »</w:t>
      </w:r>
    </w:p>
    <w:p w14:paraId="04D6806B" w14:textId="4932684E" w:rsidR="00A773D7" w:rsidRDefault="00A773D7" w:rsidP="00A773D7">
      <w:pPr>
        <w:pStyle w:val="Heading1"/>
      </w:pPr>
      <w:r>
        <w:t>A</w:t>
      </w:r>
      <w:r>
        <w:t>rt. 77 Champ d’application</w:t>
      </w:r>
    </w:p>
    <w:p w14:paraId="5FD325B8" w14:textId="7EC90DCF" w:rsidR="00A773D7" w:rsidRDefault="00A773D7" w:rsidP="00A773D7">
      <w:r>
        <w:t xml:space="preserve">Le plan d’aménagement particulier </w:t>
      </w:r>
      <w:r>
        <w:t>« </w:t>
      </w:r>
      <w:r>
        <w:t>quartier existant – zone spéciale</w:t>
      </w:r>
      <w:r>
        <w:t> »</w:t>
      </w:r>
      <w:r>
        <w:t xml:space="preserve"> concerne des fonds situés</w:t>
      </w:r>
      <w:r>
        <w:t xml:space="preserve"> </w:t>
      </w:r>
      <w:r>
        <w:t>au nord-ouest de la ville de Diekirch.</w:t>
      </w:r>
    </w:p>
    <w:p w14:paraId="3705058F" w14:textId="5F5A0F36" w:rsidR="00A773D7" w:rsidRDefault="00A773D7" w:rsidP="00A773D7">
      <w:r>
        <w:t xml:space="preserve">La délimitation du plan d’aménagement particulier </w:t>
      </w:r>
      <w:r>
        <w:t>« </w:t>
      </w:r>
      <w:r>
        <w:t>quartier existant – zone spéciale</w:t>
      </w:r>
      <w:r>
        <w:t> »</w:t>
      </w:r>
      <w:r>
        <w:t xml:space="preserve"> est fixée en</w:t>
      </w:r>
      <w:r>
        <w:t xml:space="preserve"> </w:t>
      </w:r>
      <w:r>
        <w:t>partie graphique.</w:t>
      </w:r>
    </w:p>
    <w:p w14:paraId="56B320CE" w14:textId="1B9E9347" w:rsidR="00A773D7" w:rsidRDefault="00A773D7" w:rsidP="00A773D7">
      <w:pPr>
        <w:pStyle w:val="Heading1"/>
      </w:pPr>
      <w:r>
        <w:t>A</w:t>
      </w:r>
      <w:r>
        <w:t>rt. 78 Type des constructions et installations</w:t>
      </w:r>
    </w:p>
    <w:p w14:paraId="3A6E0D3E" w14:textId="165E5F31" w:rsidR="00A773D7" w:rsidRDefault="00A773D7" w:rsidP="00A773D7">
      <w:r>
        <w:t xml:space="preserve">Le quartier existant </w:t>
      </w:r>
      <w:r>
        <w:t>« </w:t>
      </w:r>
      <w:r>
        <w:t>zone spéciale</w:t>
      </w:r>
      <w:r>
        <w:t> »</w:t>
      </w:r>
      <w:r>
        <w:t xml:space="preserve"> est réservé aux bâtiments érigés en ordre contigu ou non</w:t>
      </w:r>
      <w:r>
        <w:t xml:space="preserve"> </w:t>
      </w:r>
      <w:r>
        <w:t>contigu, et aux constructions, infrastructures, aménagements et espaces libres propres aux activités</w:t>
      </w:r>
      <w:r>
        <w:t xml:space="preserve"> </w:t>
      </w:r>
      <w:r>
        <w:t>de la zone.</w:t>
      </w:r>
    </w:p>
    <w:p w14:paraId="7212E47F" w14:textId="64A67CA5" w:rsidR="00A773D7" w:rsidRDefault="00A773D7" w:rsidP="00A773D7">
      <w:r>
        <w:t>Un seul logement de service à l'usage du personnel dont la présence permanente est nécessaire</w:t>
      </w:r>
      <w:r>
        <w:t xml:space="preserve"> </w:t>
      </w:r>
      <w:r>
        <w:t>pour assurer la surveillance d’un équipement ou bâtiment est autorisé. Ce logement doit être</w:t>
      </w:r>
      <w:r>
        <w:t xml:space="preserve"> </w:t>
      </w:r>
      <w:r>
        <w:t>intégré dans les constructions existantes ou projetées.</w:t>
      </w:r>
    </w:p>
    <w:p w14:paraId="59D4D2BF" w14:textId="022B3335" w:rsidR="00A773D7" w:rsidRDefault="00A773D7" w:rsidP="00A773D7">
      <w:pPr>
        <w:pStyle w:val="Heading1"/>
      </w:pPr>
      <w:r>
        <w:t>A</w:t>
      </w:r>
      <w:r>
        <w:t>rt. 79 Disposition des constructions et installations</w:t>
      </w:r>
    </w:p>
    <w:p w14:paraId="54A5D7E8" w14:textId="77777777" w:rsidR="00A773D7" w:rsidRPr="00A773D7" w:rsidRDefault="00A773D7" w:rsidP="00A773D7">
      <w:pPr>
        <w:rPr>
          <w:u w:val="single"/>
        </w:rPr>
      </w:pPr>
      <w:r w:rsidRPr="00A773D7">
        <w:rPr>
          <w:u w:val="single"/>
        </w:rPr>
        <w:t>Implantation des constructions et installations</w:t>
      </w:r>
    </w:p>
    <w:p w14:paraId="5B4CD13C" w14:textId="293BE378" w:rsidR="00A773D7" w:rsidRDefault="00A773D7" w:rsidP="00A773D7">
      <w:pPr>
        <w:ind w:left="720"/>
      </w:pPr>
      <w:r>
        <w:t>Les constructions sont à implanter à une distance minimale de 5m par rapport aux limites de</w:t>
      </w:r>
      <w:r>
        <w:t xml:space="preserve"> </w:t>
      </w:r>
      <w:r>
        <w:t>propriété.</w:t>
      </w:r>
    </w:p>
    <w:p w14:paraId="2D03D3C6" w14:textId="77777777" w:rsidR="00A773D7" w:rsidRDefault="00A773D7" w:rsidP="00A773D7">
      <w:pPr>
        <w:ind w:left="720"/>
      </w:pPr>
      <w:r>
        <w:t>Les constructions doivent respecter une distance minimale de 5m entre elles.</w:t>
      </w:r>
    </w:p>
    <w:p w14:paraId="06E018C4" w14:textId="7AC2048E" w:rsidR="00A773D7" w:rsidRDefault="00A773D7" w:rsidP="00A773D7">
      <w:pPr>
        <w:pStyle w:val="Heading1"/>
      </w:pPr>
      <w:r>
        <w:t>A</w:t>
      </w:r>
      <w:r>
        <w:t>rt. 80 Gabarit des constructions</w:t>
      </w:r>
    </w:p>
    <w:p w14:paraId="5E22D5C4" w14:textId="28D9817A" w:rsidR="00A773D7" w:rsidRDefault="00A773D7" w:rsidP="00A773D7">
      <w:r>
        <w:t>Les bâtiment</w:t>
      </w:r>
      <w:r>
        <w:t>s doivent respecter ce qui suit</w:t>
      </w:r>
      <w:r>
        <w:t>:</w:t>
      </w:r>
    </w:p>
    <w:p w14:paraId="22077748" w14:textId="77777777" w:rsidR="00A773D7" w:rsidRDefault="00A773D7" w:rsidP="00A773D7">
      <w:pPr>
        <w:pStyle w:val="ListParagraph"/>
        <w:numPr>
          <w:ilvl w:val="0"/>
          <w:numId w:val="7"/>
        </w:numPr>
      </w:pPr>
      <w:r>
        <w:t>H</w:t>
      </w:r>
      <w:r>
        <w:t>auteur hors tout</w:t>
      </w:r>
      <w:r>
        <w:t>: 5,50m max</w:t>
      </w:r>
    </w:p>
    <w:p w14:paraId="7D227E9C" w14:textId="77777777" w:rsidR="00A773D7" w:rsidRDefault="00A773D7" w:rsidP="00A773D7">
      <w:pPr>
        <w:pStyle w:val="ListParagraph"/>
        <w:numPr>
          <w:ilvl w:val="0"/>
          <w:numId w:val="7"/>
        </w:numPr>
      </w:pPr>
      <w:r>
        <w:t>Nombre de niveaux: 1 niveau plein max</w:t>
      </w:r>
    </w:p>
    <w:p w14:paraId="3E467CAE" w14:textId="77777777" w:rsidR="00A773D7" w:rsidRDefault="00A773D7" w:rsidP="00A773D7">
      <w:pPr>
        <w:pStyle w:val="ListParagraph"/>
        <w:numPr>
          <w:ilvl w:val="0"/>
          <w:numId w:val="7"/>
        </w:numPr>
      </w:pPr>
      <w:r>
        <w:t>COS max.: 0,17</w:t>
      </w:r>
    </w:p>
    <w:p w14:paraId="43B2DE0F" w14:textId="77777777" w:rsidR="00A773D7" w:rsidRDefault="00A773D7" w:rsidP="00A773D7">
      <w:pPr>
        <w:pStyle w:val="ListParagraph"/>
        <w:numPr>
          <w:ilvl w:val="0"/>
          <w:numId w:val="7"/>
        </w:numPr>
      </w:pPr>
      <w:r>
        <w:t>CUS max.: 0,17</w:t>
      </w:r>
    </w:p>
    <w:p w14:paraId="4A127822" w14:textId="3FFDBC11" w:rsidR="00A773D7" w:rsidRDefault="00A773D7" w:rsidP="00A773D7">
      <w:pPr>
        <w:pStyle w:val="ListParagraph"/>
        <w:numPr>
          <w:ilvl w:val="0"/>
          <w:numId w:val="7"/>
        </w:numPr>
      </w:pPr>
      <w:r>
        <w:t>CSS max.: 0,50</w:t>
      </w:r>
    </w:p>
    <w:p w14:paraId="41979A4D" w14:textId="0EAB96AE" w:rsidR="00A773D7" w:rsidRDefault="00A773D7" w:rsidP="00A773D7">
      <w:pPr>
        <w:pStyle w:val="Heading1"/>
      </w:pPr>
      <w:r>
        <w:t>A</w:t>
      </w:r>
      <w:r>
        <w:t>rt. 81 Toitures</w:t>
      </w:r>
    </w:p>
    <w:p w14:paraId="38FDEE07" w14:textId="18DF278A" w:rsidR="006605E2" w:rsidRDefault="00A773D7" w:rsidP="00A773D7">
      <w:r>
        <w:t>Seules des toitures plates sont admises. Elles devront obligatoirement être végétalisées et</w:t>
      </w:r>
      <w:r>
        <w:t xml:space="preserve"> </w:t>
      </w:r>
      <w:r>
        <w:t>entretenues de manière extensive. En aucun cas elles ne pourront être accessibles.</w:t>
      </w:r>
    </w:p>
    <w:p w14:paraId="432CA5A3" w14:textId="0622DFB8" w:rsidR="00A773D7" w:rsidRDefault="00A773D7" w:rsidP="00A773D7">
      <w:pPr>
        <w:pStyle w:val="Heading1"/>
      </w:pPr>
      <w:r>
        <w:lastRenderedPageBreak/>
        <w:t>A</w:t>
      </w:r>
      <w:r>
        <w:t>rt. 82 Constructions en sous-sol</w:t>
      </w:r>
    </w:p>
    <w:p w14:paraId="518EC566" w14:textId="6686E4EA" w:rsidR="00A773D7" w:rsidRDefault="00A773D7" w:rsidP="00A773D7">
      <w:r>
        <w:t>Seuls des équipements techniques indispensables au fonctionnement de la station-service sont</w:t>
      </w:r>
      <w:r>
        <w:t xml:space="preserve"> </w:t>
      </w:r>
      <w:r>
        <w:t>autorisés.</w:t>
      </w:r>
    </w:p>
    <w:p w14:paraId="6D37CB0B" w14:textId="4B2C8C65" w:rsidR="00A773D7" w:rsidRDefault="00A773D7" w:rsidP="00A773D7">
      <w:pPr>
        <w:pStyle w:val="Heading1"/>
      </w:pPr>
      <w:r>
        <w:t>A</w:t>
      </w:r>
      <w:r>
        <w:t>rt. 83 Clôtures</w:t>
      </w:r>
    </w:p>
    <w:p w14:paraId="0239ACF8" w14:textId="7823B56C" w:rsidR="00A773D7" w:rsidRDefault="00A773D7" w:rsidP="00A773D7">
      <w:r>
        <w:t>Seule une clôture ajourée sur 50% minimum de la surface est permise. Elle aura une hauteur</w:t>
      </w:r>
      <w:r>
        <w:t xml:space="preserve"> </w:t>
      </w:r>
      <w:r>
        <w:t>maximale de 2,00m.</w:t>
      </w:r>
    </w:p>
    <w:p w14:paraId="79AD5598" w14:textId="77777777" w:rsidR="00A773D7" w:rsidRDefault="00A773D7" w:rsidP="00A773D7">
      <w:r>
        <w:t>La clôture doit être de teinte verte ou grise.</w:t>
      </w:r>
    </w:p>
    <w:p w14:paraId="09B9AE92" w14:textId="02F4A61D" w:rsidR="00A773D7" w:rsidRDefault="00A773D7" w:rsidP="00A773D7">
      <w:pPr>
        <w:pStyle w:val="Heading1"/>
      </w:pPr>
      <w:r>
        <w:t>A</w:t>
      </w:r>
      <w:r>
        <w:t>rt. 84 Matériaux et teintes des constructions</w:t>
      </w:r>
    </w:p>
    <w:p w14:paraId="336AD54E" w14:textId="4393CC4A" w:rsidR="00A773D7" w:rsidRDefault="00A773D7" w:rsidP="00A773D7">
      <w:r>
        <w:t>Le revêtement des façades doit se faire parmi les ma</w:t>
      </w:r>
      <w:r>
        <w:t>tériaux suivants</w:t>
      </w:r>
      <w:r>
        <w:t>:</w:t>
      </w:r>
    </w:p>
    <w:p w14:paraId="2485E901" w14:textId="607B2E61" w:rsidR="00A773D7" w:rsidRDefault="00A773D7" w:rsidP="00A773D7">
      <w:pPr>
        <w:ind w:left="720"/>
      </w:pPr>
      <w:proofErr w:type="gramStart"/>
      <w:r>
        <w:t>le</w:t>
      </w:r>
      <w:proofErr w:type="gramEnd"/>
      <w:r>
        <w:t xml:space="preserve"> bois, de préférence sans peinture ni lasur</w:t>
      </w:r>
      <w:r>
        <w:t>e ou lasure de teinte naturelle</w:t>
      </w:r>
      <w:r>
        <w:t>;</w:t>
      </w:r>
    </w:p>
    <w:p w14:paraId="404892C5" w14:textId="09A3D775" w:rsidR="00A773D7" w:rsidRDefault="00A773D7" w:rsidP="00A773D7">
      <w:pPr>
        <w:ind w:left="720"/>
      </w:pPr>
      <w:proofErr w:type="gramStart"/>
      <w:r>
        <w:t>béton</w:t>
      </w:r>
      <w:proofErr w:type="gramEnd"/>
      <w:r>
        <w:t xml:space="preserve"> brut</w:t>
      </w:r>
      <w:r>
        <w:t>;</w:t>
      </w:r>
    </w:p>
    <w:p w14:paraId="3B336D61" w14:textId="62152F71" w:rsidR="00A773D7" w:rsidRDefault="00A773D7" w:rsidP="00A773D7">
      <w:pPr>
        <w:ind w:left="720"/>
      </w:pPr>
      <w:proofErr w:type="gramStart"/>
      <w:r>
        <w:t>bardage</w:t>
      </w:r>
      <w:proofErr w:type="gramEnd"/>
      <w:r>
        <w:t xml:space="preserve"> plan</w:t>
      </w:r>
      <w:r>
        <w:t>; ou</w:t>
      </w:r>
    </w:p>
    <w:p w14:paraId="3EF7E599" w14:textId="77777777" w:rsidR="00A773D7" w:rsidRDefault="00A773D7" w:rsidP="00A773D7">
      <w:pPr>
        <w:ind w:left="720"/>
      </w:pPr>
      <w:proofErr w:type="gramStart"/>
      <w:r>
        <w:t>couvert</w:t>
      </w:r>
      <w:proofErr w:type="gramEnd"/>
      <w:r>
        <w:t xml:space="preserve"> d’enduit.</w:t>
      </w:r>
    </w:p>
    <w:p w14:paraId="180C2561" w14:textId="18D48231" w:rsidR="00A773D7" w:rsidRDefault="00A773D7" w:rsidP="00A773D7">
      <w:r>
        <w:t>Les teintes sont à choisir parmi les nuances de blanc, de gris, de brun. Au maximum 2 teintes</w:t>
      </w:r>
      <w:r>
        <w:t xml:space="preserve"> </w:t>
      </w:r>
      <w:r>
        <w:t>différentes sont autorisées par construction.</w:t>
      </w:r>
    </w:p>
    <w:p w14:paraId="2502CB2A" w14:textId="4D4B35A7" w:rsidR="00A773D7" w:rsidRDefault="00A773D7" w:rsidP="00A773D7">
      <w:pPr>
        <w:pStyle w:val="Heading1"/>
      </w:pPr>
      <w:r>
        <w:t>A</w:t>
      </w:r>
      <w:r>
        <w:t>rt. 85 Stationnements</w:t>
      </w:r>
    </w:p>
    <w:p w14:paraId="57D09B96" w14:textId="5872C858" w:rsidR="00A773D7" w:rsidRDefault="00A773D7" w:rsidP="00A773D7">
      <w:r>
        <w:t>Le nombre minimum de places de stationnement à aménager doit se faire en référence aux</w:t>
      </w:r>
      <w:r>
        <w:t xml:space="preserve"> </w:t>
      </w:r>
      <w:r>
        <w:t>dispositions de l’article « Emplacements de stationnement » défini en partie écrite PAG.</w:t>
      </w:r>
    </w:p>
    <w:p w14:paraId="78EDB802" w14:textId="3CC33593" w:rsidR="00A773D7" w:rsidRDefault="00A773D7" w:rsidP="00A773D7">
      <w:pPr>
        <w:pStyle w:val="Heading1"/>
      </w:pPr>
      <w:r>
        <w:t>A</w:t>
      </w:r>
      <w:r>
        <w:t>rt. 86 Aménagement des espaces libres</w:t>
      </w:r>
    </w:p>
    <w:p w14:paraId="43FC8FD5" w14:textId="7FDB953B" w:rsidR="00A773D7" w:rsidRPr="007D461A" w:rsidRDefault="00A773D7" w:rsidP="00A773D7">
      <w:r>
        <w:t>Les espaces réservés aux emplacements de stationnement doivent être munis de revêtements</w:t>
      </w:r>
      <w:r>
        <w:t xml:space="preserve"> </w:t>
      </w:r>
      <w:bookmarkStart w:id="0" w:name="_GoBack"/>
      <w:bookmarkEnd w:id="0"/>
      <w:r>
        <w:t>perméables à fort pouvoir d’infiltration.</w:t>
      </w:r>
    </w:p>
    <w:sectPr w:rsidR="00A773D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207225"/>
    <w:multiLevelType w:val="hybridMultilevel"/>
    <w:tmpl w:val="686C54A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773D7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2024-05-02T07:54:00Z</dcterms:modified>
</cp:coreProperties>
</file>