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621F0" w14:textId="65D34180" w:rsidR="0079517B" w:rsidRDefault="0079517B" w:rsidP="0079517B">
      <w:pPr>
        <w:pStyle w:val="Title"/>
      </w:pPr>
      <w:r>
        <w:t xml:space="preserve">K. Règles spécifiques applicables au PAP </w:t>
      </w:r>
      <w:r>
        <w:t>« quartier existant – gare »</w:t>
      </w:r>
    </w:p>
    <w:p w14:paraId="72F0AFFA" w14:textId="241A7A7D" w:rsidR="0079517B" w:rsidRDefault="0079517B" w:rsidP="0079517B">
      <w:pPr>
        <w:pStyle w:val="Heading1"/>
      </w:pPr>
      <w:r>
        <w:t>A</w:t>
      </w:r>
      <w:r>
        <w:t>rt. 87 Champ d’application</w:t>
      </w:r>
    </w:p>
    <w:p w14:paraId="7AEE9D49" w14:textId="151A843C" w:rsidR="0079517B" w:rsidRDefault="0079517B" w:rsidP="0079517B">
      <w:r>
        <w:t xml:space="preserve">Le plan d’aménagement particulier </w:t>
      </w:r>
      <w:r>
        <w:t>« quartier existant – gare »</w:t>
      </w:r>
      <w:r>
        <w:t xml:space="preserve"> concerne des fonds répartis sur le</w:t>
      </w:r>
      <w:r>
        <w:t xml:space="preserve"> </w:t>
      </w:r>
      <w:r>
        <w:t>territoire communal de Diekirch.</w:t>
      </w:r>
    </w:p>
    <w:p w14:paraId="52866256" w14:textId="1CFD9DF1" w:rsidR="0079517B" w:rsidRDefault="0079517B" w:rsidP="0079517B">
      <w:r>
        <w:t xml:space="preserve">Les délimitations du plan d’aménagement particulier </w:t>
      </w:r>
      <w:r>
        <w:t>« </w:t>
      </w:r>
      <w:r>
        <w:t>quartier existant – gare</w:t>
      </w:r>
      <w:r>
        <w:t> »</w:t>
      </w:r>
      <w:r>
        <w:t xml:space="preserve"> sont fixées en</w:t>
      </w:r>
      <w:r>
        <w:t xml:space="preserve"> </w:t>
      </w:r>
      <w:r>
        <w:t>partie graphique.</w:t>
      </w:r>
    </w:p>
    <w:p w14:paraId="08775835" w14:textId="5DE76F91" w:rsidR="0079517B" w:rsidRDefault="0079517B" w:rsidP="0079517B">
      <w:pPr>
        <w:pStyle w:val="Heading1"/>
      </w:pPr>
      <w:r>
        <w:t>A</w:t>
      </w:r>
      <w:r>
        <w:t>rt. 88 Type des constructions</w:t>
      </w:r>
    </w:p>
    <w:p w14:paraId="6E9DA1B8" w14:textId="147D21D3" w:rsidR="0079517B" w:rsidRDefault="0079517B" w:rsidP="0079517B">
      <w:r>
        <w:t xml:space="preserve">Le quartier existant </w:t>
      </w:r>
      <w:r>
        <w:t>« </w:t>
      </w:r>
      <w:r>
        <w:t>gare</w:t>
      </w:r>
      <w:r>
        <w:t> »</w:t>
      </w:r>
      <w:r>
        <w:t xml:space="preserve"> est réservé aux bâtiments érigés en ordre contigu ou non contigu, et</w:t>
      </w:r>
      <w:r>
        <w:t xml:space="preserve"> </w:t>
      </w:r>
      <w:r>
        <w:t>aux constructions, infrastructures, aménagements et espaces libres propres aux activités de la zone.</w:t>
      </w:r>
    </w:p>
    <w:p w14:paraId="30520A0E" w14:textId="23A045EC" w:rsidR="0079517B" w:rsidRDefault="0079517B" w:rsidP="0079517B">
      <w:pPr>
        <w:pStyle w:val="Heading1"/>
      </w:pPr>
      <w:r>
        <w:t>A</w:t>
      </w:r>
      <w:r>
        <w:t>rt. 89 Disposition des constructions</w:t>
      </w:r>
    </w:p>
    <w:p w14:paraId="56587874" w14:textId="041B4CD7" w:rsidR="0079517B" w:rsidRPr="0079517B" w:rsidRDefault="0079517B" w:rsidP="0079517B">
      <w:pPr>
        <w:pStyle w:val="ListParagraph"/>
        <w:numPr>
          <w:ilvl w:val="0"/>
          <w:numId w:val="8"/>
        </w:numPr>
      </w:pPr>
      <w:r w:rsidRPr="0079517B">
        <w:t>Alignement</w:t>
      </w:r>
    </w:p>
    <w:p w14:paraId="14A24582" w14:textId="68A99751" w:rsidR="0079517B" w:rsidRDefault="0079517B" w:rsidP="0079517B">
      <w:pPr>
        <w:ind w:left="720"/>
      </w:pPr>
      <w:r>
        <w:t>L’alignement peut être fixé par le bourgmestre en référence à la configuration des lieux, tel que</w:t>
      </w:r>
      <w:r>
        <w:t xml:space="preserve"> </w:t>
      </w:r>
      <w:r>
        <w:t>l’alignement des bâtiments voisins ou les dimensions de la parcelle.</w:t>
      </w:r>
    </w:p>
    <w:p w14:paraId="30513F2E" w14:textId="34764B62" w:rsidR="0079517B" w:rsidRPr="0079517B" w:rsidRDefault="0079517B" w:rsidP="0079517B">
      <w:pPr>
        <w:pStyle w:val="ListParagraph"/>
        <w:numPr>
          <w:ilvl w:val="0"/>
          <w:numId w:val="8"/>
        </w:numPr>
      </w:pPr>
      <w:r w:rsidRPr="0079517B">
        <w:t>Reculs sur limites de propriété</w:t>
      </w:r>
    </w:p>
    <w:p w14:paraId="49068FF8" w14:textId="36079B99" w:rsidR="0079517B" w:rsidRDefault="0079517B" w:rsidP="0079517B">
      <w:pPr>
        <w:ind w:left="720"/>
      </w:pPr>
      <w:r>
        <w:t>Le recul minimal de toute nouvelle construction par rapport aux limites de propriété est fixé à</w:t>
      </w:r>
      <w:r>
        <w:t xml:space="preserve"> </w:t>
      </w:r>
      <w:r>
        <w:t>5m.</w:t>
      </w:r>
    </w:p>
    <w:p w14:paraId="1BCDE8B3" w14:textId="2883D180" w:rsidR="0079517B" w:rsidRPr="0079517B" w:rsidRDefault="0079517B" w:rsidP="0079517B">
      <w:pPr>
        <w:pStyle w:val="ListParagraph"/>
        <w:numPr>
          <w:ilvl w:val="0"/>
          <w:numId w:val="8"/>
        </w:numPr>
      </w:pPr>
      <w:r w:rsidRPr="0079517B">
        <w:t>Distance entre bâtiments</w:t>
      </w:r>
    </w:p>
    <w:p w14:paraId="48E84A4D" w14:textId="71BB252F" w:rsidR="0079517B" w:rsidRDefault="0079517B" w:rsidP="0079517B">
      <w:pPr>
        <w:ind w:left="720"/>
      </w:pPr>
      <w:r>
        <w:t>La distance entre deux bâtiments situés ou non sur le même fonds doit être nulle, égale ou</w:t>
      </w:r>
      <w:r>
        <w:t xml:space="preserve"> </w:t>
      </w:r>
      <w:r>
        <w:t>supérieure à 6m (dépendances non considérées).</w:t>
      </w:r>
    </w:p>
    <w:p w14:paraId="12773FBF" w14:textId="7B064FC3" w:rsidR="0079517B" w:rsidRDefault="0079517B" w:rsidP="0079517B">
      <w:pPr>
        <w:pStyle w:val="Heading1"/>
      </w:pPr>
      <w:r>
        <w:t>A</w:t>
      </w:r>
      <w:r>
        <w:t>rt. 90 Gabarit des constructions</w:t>
      </w:r>
    </w:p>
    <w:p w14:paraId="553E1F51" w14:textId="77777777" w:rsidR="0079517B" w:rsidRDefault="0079517B" w:rsidP="0079517B">
      <w:pPr>
        <w:pStyle w:val="ListParagraph"/>
        <w:numPr>
          <w:ilvl w:val="0"/>
          <w:numId w:val="9"/>
        </w:numPr>
      </w:pPr>
      <w:r>
        <w:t>Niveaux</w:t>
      </w:r>
    </w:p>
    <w:p w14:paraId="25ED6C0B" w14:textId="569222B5" w:rsidR="0079517B" w:rsidRDefault="0079517B" w:rsidP="0079517B">
      <w:pPr>
        <w:pStyle w:val="ListParagraph"/>
        <w:numPr>
          <w:ilvl w:val="0"/>
          <w:numId w:val="10"/>
        </w:numPr>
      </w:pPr>
      <w:r>
        <w:t>Nombre de niveaux: 3 max</w:t>
      </w:r>
    </w:p>
    <w:p w14:paraId="6969E8E4" w14:textId="77777777" w:rsidR="0079517B" w:rsidRDefault="0079517B" w:rsidP="0079517B">
      <w:pPr>
        <w:pStyle w:val="ListParagraph"/>
        <w:numPr>
          <w:ilvl w:val="0"/>
          <w:numId w:val="9"/>
        </w:numPr>
      </w:pPr>
      <w:r>
        <w:t>Hauteur</w:t>
      </w:r>
    </w:p>
    <w:p w14:paraId="39E6D89F" w14:textId="6629060E" w:rsidR="0079517B" w:rsidRDefault="0079517B" w:rsidP="0079517B">
      <w:pPr>
        <w:pStyle w:val="ListParagraph"/>
        <w:numPr>
          <w:ilvl w:val="0"/>
          <w:numId w:val="10"/>
        </w:numPr>
      </w:pPr>
      <w:r>
        <w:t>Hauteur hors tout</w:t>
      </w:r>
      <w:r>
        <w:t>: 10m max</w:t>
      </w:r>
    </w:p>
    <w:p w14:paraId="4D4CFF54" w14:textId="77777777" w:rsidR="0079517B" w:rsidRDefault="0079517B" w:rsidP="0079517B">
      <w:pPr>
        <w:pStyle w:val="ListParagraph"/>
        <w:numPr>
          <w:ilvl w:val="0"/>
          <w:numId w:val="9"/>
        </w:numPr>
      </w:pPr>
      <w:r>
        <w:t>Profondeur</w:t>
      </w:r>
    </w:p>
    <w:p w14:paraId="75B10D0B" w14:textId="01ABE504" w:rsidR="0079517B" w:rsidRDefault="0079517B" w:rsidP="0079517B">
      <w:pPr>
        <w:pStyle w:val="ListParagraph"/>
        <w:numPr>
          <w:ilvl w:val="0"/>
          <w:numId w:val="10"/>
        </w:numPr>
      </w:pPr>
      <w:r>
        <w:t>Profondeur des constructions: 20m max</w:t>
      </w:r>
    </w:p>
    <w:p w14:paraId="244E60B3" w14:textId="7A43D16B" w:rsidR="0079517B" w:rsidRPr="0079517B" w:rsidRDefault="0079517B" w:rsidP="0079517B">
      <w:pPr>
        <w:pStyle w:val="Heading1"/>
      </w:pPr>
      <w:r w:rsidRPr="0079517B">
        <w:t>Art. 91 Toitures</w:t>
      </w:r>
    </w:p>
    <w:p w14:paraId="6DE076AF" w14:textId="424D565C" w:rsidR="0079517B" w:rsidRDefault="0079517B" w:rsidP="0079517B">
      <w:r>
        <w:t>Sont admises l</w:t>
      </w:r>
      <w:r>
        <w:t>es formes de toitures suivantes</w:t>
      </w:r>
      <w:r>
        <w:t>:</w:t>
      </w:r>
    </w:p>
    <w:p w14:paraId="52D84851" w14:textId="77777777" w:rsidR="0079517B" w:rsidRDefault="0079517B" w:rsidP="0079517B">
      <w:pPr>
        <w:pStyle w:val="ListParagraph"/>
        <w:numPr>
          <w:ilvl w:val="0"/>
          <w:numId w:val="10"/>
        </w:numPr>
      </w:pPr>
      <w:proofErr w:type="gramStart"/>
      <w:r>
        <w:t>toitures</w:t>
      </w:r>
      <w:proofErr w:type="gramEnd"/>
      <w:r>
        <w:t xml:space="preserve"> à deux versants,</w:t>
      </w:r>
    </w:p>
    <w:p w14:paraId="3D8EF6D6" w14:textId="77777777" w:rsidR="0079517B" w:rsidRDefault="0079517B" w:rsidP="0079517B">
      <w:pPr>
        <w:pStyle w:val="ListParagraph"/>
        <w:numPr>
          <w:ilvl w:val="0"/>
          <w:numId w:val="10"/>
        </w:numPr>
      </w:pPr>
      <w:proofErr w:type="gramStart"/>
      <w:r>
        <w:lastRenderedPageBreak/>
        <w:t>toitures</w:t>
      </w:r>
      <w:proofErr w:type="gramEnd"/>
      <w:r>
        <w:t xml:space="preserve"> à un versant unique,</w:t>
      </w:r>
    </w:p>
    <w:p w14:paraId="7A41981B" w14:textId="64D7957E" w:rsidR="0079517B" w:rsidRDefault="0079517B" w:rsidP="0079517B">
      <w:pPr>
        <w:pStyle w:val="ListParagraph"/>
        <w:numPr>
          <w:ilvl w:val="0"/>
          <w:numId w:val="10"/>
        </w:numPr>
      </w:pPr>
      <w:proofErr w:type="gramStart"/>
      <w:r>
        <w:t>toitures</w:t>
      </w:r>
      <w:proofErr w:type="gramEnd"/>
      <w:r>
        <w:t xml:space="preserve"> plates.</w:t>
      </w:r>
    </w:p>
    <w:p w14:paraId="417534A7" w14:textId="5A0ED9A2" w:rsidR="0079517B" w:rsidRDefault="0079517B" w:rsidP="0079517B">
      <w:pPr>
        <w:pStyle w:val="Heading1"/>
      </w:pPr>
      <w:r>
        <w:t>A</w:t>
      </w:r>
      <w:r>
        <w:t>rt. 92 Constructions en sous-sol</w:t>
      </w:r>
    </w:p>
    <w:p w14:paraId="4CFD1E62" w14:textId="1026F79C" w:rsidR="0079517B" w:rsidRDefault="0079517B" w:rsidP="0079517B">
      <w:r>
        <w:t>Les constructions en sous-sol sont autorisées dans l’emprise maximale au sol de la construction</w:t>
      </w:r>
      <w:r>
        <w:t xml:space="preserve"> </w:t>
      </w:r>
      <w:r>
        <w:t>hors-sol, sans préjudice d’autres dispositions légales et réglementaires.</w:t>
      </w:r>
    </w:p>
    <w:p w14:paraId="258381E0" w14:textId="0FAB2460" w:rsidR="0079517B" w:rsidRDefault="0079517B" w:rsidP="0079517B">
      <w:pPr>
        <w:pStyle w:val="Heading1"/>
      </w:pPr>
      <w:r>
        <w:t>A</w:t>
      </w:r>
      <w:r>
        <w:t>rt. 93 Matériaux et teintes des constructions</w:t>
      </w:r>
    </w:p>
    <w:p w14:paraId="25463AB4" w14:textId="7BDDD3BA" w:rsidR="0079517B" w:rsidRDefault="0079517B" w:rsidP="0079517B">
      <w:r>
        <w:t>En dérogation à l’art. 93 du présent règlement, les matériaux et teintes seront fixés au cas par cas</w:t>
      </w:r>
      <w:r>
        <w:t xml:space="preserve"> </w:t>
      </w:r>
      <w:r>
        <w:t>par les autorités communales en fonction du projet.</w:t>
      </w:r>
    </w:p>
    <w:p w14:paraId="1246C2B1" w14:textId="0B3D1874" w:rsidR="0079517B" w:rsidRDefault="0079517B" w:rsidP="0079517B">
      <w:pPr>
        <w:pStyle w:val="Heading1"/>
      </w:pPr>
      <w:r>
        <w:t>A</w:t>
      </w:r>
      <w:r>
        <w:t>rt. 94 Aménagement des espaces libres</w:t>
      </w:r>
    </w:p>
    <w:p w14:paraId="1FF3679B" w14:textId="12334568" w:rsidR="0079517B" w:rsidRDefault="0079517B" w:rsidP="00982ED6">
      <w:pPr>
        <w:pStyle w:val="ListParagraph"/>
        <w:numPr>
          <w:ilvl w:val="0"/>
          <w:numId w:val="11"/>
        </w:numPr>
      </w:pPr>
      <w:r>
        <w:t>Les espaces libres sont réservés à l’aménagement des infrastructures ferroviaires et routières,</w:t>
      </w:r>
      <w:r>
        <w:t xml:space="preserve"> </w:t>
      </w:r>
      <w:r>
        <w:t>des accès des bâtiments, des espaces de stationnement, des espaces fonctionnels.</w:t>
      </w:r>
    </w:p>
    <w:p w14:paraId="38EB502A" w14:textId="46C6C381" w:rsidR="0079517B" w:rsidRPr="007D461A" w:rsidRDefault="0079517B" w:rsidP="00E7503F">
      <w:pPr>
        <w:pStyle w:val="ListParagraph"/>
        <w:numPr>
          <w:ilvl w:val="0"/>
          <w:numId w:val="11"/>
        </w:numPr>
      </w:pPr>
      <w:r>
        <w:t>Les espaces réservés aux emplacements de stationnement doivent, sans préjudice d’autres</w:t>
      </w:r>
      <w:r>
        <w:t xml:space="preserve"> </w:t>
      </w:r>
      <w:bookmarkStart w:id="0" w:name="_GoBack"/>
      <w:bookmarkEnd w:id="0"/>
      <w:r>
        <w:t>dispositions réglementaires, être munis de revêtements perméables à fort pouvoir d’infiltration.</w:t>
      </w:r>
    </w:p>
    <w:sectPr w:rsidR="0079517B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0A6A"/>
    <w:multiLevelType w:val="hybridMultilevel"/>
    <w:tmpl w:val="83BE897E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675C"/>
    <w:multiLevelType w:val="hybridMultilevel"/>
    <w:tmpl w:val="A7F291EE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F3AEE"/>
    <w:multiLevelType w:val="hybridMultilevel"/>
    <w:tmpl w:val="C988E6BC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E6F0D"/>
    <w:multiLevelType w:val="hybridMultilevel"/>
    <w:tmpl w:val="14704AF4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315CC"/>
    <w:multiLevelType w:val="hybridMultilevel"/>
    <w:tmpl w:val="E710158A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517B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2024-05-02T08:59:00Z</dcterms:modified>
</cp:coreProperties>
</file>