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0CC7F091" w14:textId="4AAEF1D6" w:rsidR="009F3FDF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3C75237E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74DF7F7F" w14:textId="16B87610" w:rsidR="00325CE0" w:rsidRPr="007D461A" w:rsidRDefault="00325CE0" w:rsidP="00325CE0">
      <w:pPr>
        <w:pStyle w:val="ListParagraph"/>
        <w:numPr>
          <w:ilvl w:val="0"/>
          <w:numId w:val="11"/>
        </w:numPr>
      </w:pPr>
      <w:r w:rsidRPr="00325CE0">
        <w:lastRenderedPageBreak/>
        <w:t>la zone Cv7, située au niveau de la rue Goldknapp</w:t>
      </w:r>
      <w:r>
        <w:t> »</w:t>
      </w:r>
      <w:r w:rsidRPr="00325CE0">
        <w:t xml:space="preserve">, à Erpeldange-sur-Sûre, vise à préserver un corridor de déplacement sur les coteaux inférieurs du versant gauche de la vallée de la Sûre et d’assurer sa connexion au fond grevé par la servitude </w:t>
      </w:r>
      <w:r>
        <w:t>« </w:t>
      </w:r>
      <w:r w:rsidRPr="00325CE0">
        <w:t>urbanisation</w:t>
      </w:r>
      <w:r>
        <w:t> »</w:t>
      </w:r>
      <w:r w:rsidRPr="00325CE0">
        <w:t xml:space="preserve"> – zone tampon T7, qui permet de le prolonger jusqu’au cours de la Sûre. La zone Cv7 requiert la réservation d’un espace ouvert et le maintien des structures arborées/arbustives existantes.</w:t>
      </w:r>
    </w:p>
    <w:sectPr w:rsidR="00325CE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856DDC"/>
    <w:multiLevelType w:val="hybridMultilevel"/>
    <w:tmpl w:val="C8389E0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325CE0"/>
    <w:rsid w:val="00387019"/>
    <w:rsid w:val="0039622D"/>
    <w:rsid w:val="00397462"/>
    <w:rsid w:val="003A681A"/>
    <w:rsid w:val="00535FA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3FDF"/>
    <w:rsid w:val="00A12C0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2022-08-05T13:03:00Z</dcterms:modified>
</cp:coreProperties>
</file>