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FA4DD0" w14:textId="42857479" w:rsidR="00347C09" w:rsidRPr="00347C09" w:rsidRDefault="00347C09" w:rsidP="00347C09">
      <w:pPr>
        <w:pStyle w:val="Heading1"/>
        <w:rPr>
          <w:lang w:val="fr-FR"/>
        </w:rPr>
      </w:pPr>
      <w:r>
        <w:rPr>
          <w:lang w:val="fr-FR"/>
        </w:rPr>
        <w:t xml:space="preserve">Art. 9 </w:t>
      </w:r>
      <w:r w:rsidRPr="00347C09">
        <w:rPr>
          <w:lang w:val="fr-FR"/>
        </w:rPr>
        <w:t xml:space="preserve">PAP QE - zone de sport et de loisir </w:t>
      </w:r>
      <w:r>
        <w:rPr>
          <w:lang w:val="fr-FR"/>
        </w:rPr>
        <w:t>« </w:t>
      </w:r>
      <w:r w:rsidRPr="00347C09">
        <w:rPr>
          <w:lang w:val="fr-FR"/>
        </w:rPr>
        <w:t xml:space="preserve">sans </w:t>
      </w:r>
      <w:proofErr w:type="spellStart"/>
      <w:r w:rsidRPr="00347C09">
        <w:rPr>
          <w:lang w:val="fr-FR"/>
        </w:rPr>
        <w:t>sejour</w:t>
      </w:r>
      <w:proofErr w:type="spellEnd"/>
      <w:r>
        <w:rPr>
          <w:lang w:val="fr-FR"/>
        </w:rPr>
        <w:t> »</w:t>
      </w:r>
      <w:r w:rsidRPr="00347C09">
        <w:rPr>
          <w:lang w:val="fr-FR"/>
        </w:rPr>
        <w:t xml:space="preserve"> [REC-</w:t>
      </w:r>
      <w:proofErr w:type="spellStart"/>
      <w:r w:rsidRPr="00347C09">
        <w:rPr>
          <w:lang w:val="fr-FR"/>
        </w:rPr>
        <w:t>ss</w:t>
      </w:r>
      <w:proofErr w:type="spellEnd"/>
      <w:r w:rsidRPr="00347C09">
        <w:rPr>
          <w:lang w:val="fr-FR"/>
        </w:rPr>
        <w:t>]</w:t>
      </w:r>
    </w:p>
    <w:p w14:paraId="5E87E333" w14:textId="01AE5C87" w:rsidR="00347C09" w:rsidRPr="00347C09" w:rsidRDefault="00347C09" w:rsidP="00347C09">
      <w:pPr>
        <w:pStyle w:val="Heading2"/>
        <w:rPr>
          <w:lang w:val="fr-FR"/>
        </w:rPr>
      </w:pPr>
      <w:r>
        <w:rPr>
          <w:lang w:val="fr-FR"/>
        </w:rPr>
        <w:t xml:space="preserve">Art. 9.1 </w:t>
      </w:r>
      <w:r w:rsidRPr="00347C09">
        <w:rPr>
          <w:lang w:val="fr-FR"/>
        </w:rPr>
        <w:t>Affectation</w:t>
      </w:r>
    </w:p>
    <w:p w14:paraId="1E24160A" w14:textId="1874EACD" w:rsidR="00347C09" w:rsidRPr="00347C09" w:rsidRDefault="00347C09" w:rsidP="00347C09">
      <w:pPr>
        <w:pStyle w:val="ListParagraph"/>
        <w:numPr>
          <w:ilvl w:val="0"/>
          <w:numId w:val="8"/>
        </w:numPr>
        <w:rPr>
          <w:lang w:val="fr-FR"/>
        </w:rPr>
      </w:pPr>
      <w:r w:rsidRPr="00347C09">
        <w:rPr>
          <w:lang w:val="fr-FR"/>
        </w:rPr>
        <w:t>Le PAP QE « </w:t>
      </w:r>
      <w:r w:rsidRPr="00347C09">
        <w:rPr>
          <w:lang w:val="fr-FR"/>
        </w:rPr>
        <w:t>Zone de sports et de loisirs sans séjour</w:t>
      </w:r>
      <w:r w:rsidRPr="00347C09">
        <w:rPr>
          <w:lang w:val="fr-FR"/>
        </w:rPr>
        <w:t> »</w:t>
      </w:r>
      <w:r w:rsidRPr="00347C09">
        <w:rPr>
          <w:lang w:val="fr-FR"/>
        </w:rPr>
        <w:t xml:space="preserve"> est réservé aux bâtiments, infrastructures et installations de sports, de loisirs et touristiques, aux espaces verts de détente et de repos, aux aires de jeux ainsi qu’aux équipements de service public, à l’exclusio</w:t>
      </w:r>
      <w:r>
        <w:rPr>
          <w:lang w:val="fr-FR"/>
        </w:rPr>
        <w:t>n de tout équipement de séjour.</w:t>
      </w:r>
    </w:p>
    <w:p w14:paraId="696E306F" w14:textId="6908F07F" w:rsidR="00347C09" w:rsidRPr="00347C09" w:rsidRDefault="00347C09" w:rsidP="00347C09">
      <w:pPr>
        <w:pStyle w:val="ListParagraph"/>
        <w:numPr>
          <w:ilvl w:val="0"/>
          <w:numId w:val="8"/>
        </w:numPr>
        <w:rPr>
          <w:lang w:val="fr-FR"/>
        </w:rPr>
      </w:pPr>
      <w:r w:rsidRPr="00347C09">
        <w:rPr>
          <w:lang w:val="fr-FR"/>
        </w:rPr>
        <w:t>L’habitation permanente et temporaire y est interdite, à l’exception d’un logement de service à l’usage du personnel par équipement dont la présence permanente est nécessaire pour assurer la direction ou la surveillance.</w:t>
      </w:r>
    </w:p>
    <w:p w14:paraId="4344F202" w14:textId="3885184F" w:rsidR="00347C09" w:rsidRPr="00347C09" w:rsidRDefault="00347C09" w:rsidP="00347C09">
      <w:pPr>
        <w:pStyle w:val="Heading2"/>
        <w:rPr>
          <w:lang w:val="fr-FR"/>
        </w:rPr>
      </w:pPr>
      <w:r>
        <w:rPr>
          <w:lang w:val="fr-FR"/>
        </w:rPr>
        <w:t xml:space="preserve">Art. 9.2 </w:t>
      </w:r>
      <w:r w:rsidRPr="00347C09">
        <w:rPr>
          <w:lang w:val="fr-FR"/>
        </w:rPr>
        <w:t>Implantation</w:t>
      </w:r>
    </w:p>
    <w:p w14:paraId="47050ED8" w14:textId="77777777" w:rsidR="00347C09" w:rsidRPr="00347C09" w:rsidRDefault="00347C09" w:rsidP="00347C09">
      <w:pPr>
        <w:rPr>
          <w:lang w:val="fr-FR"/>
        </w:rPr>
      </w:pPr>
      <w:r w:rsidRPr="00347C09">
        <w:rPr>
          <w:lang w:val="fr-FR"/>
        </w:rPr>
        <w:t>Les constructions peuvent être isolées, jumelées ou groupées en bande.</w:t>
      </w:r>
    </w:p>
    <w:p w14:paraId="28173F53" w14:textId="2CE048C5" w:rsidR="00347C09" w:rsidRPr="00347C09" w:rsidRDefault="00347C09" w:rsidP="00347C09">
      <w:pPr>
        <w:pStyle w:val="Heading2"/>
        <w:rPr>
          <w:lang w:val="fr-FR"/>
        </w:rPr>
      </w:pPr>
      <w:r>
        <w:rPr>
          <w:lang w:val="fr-FR"/>
        </w:rPr>
        <w:t xml:space="preserve">Art. 9.3 </w:t>
      </w:r>
      <w:r w:rsidRPr="00347C09">
        <w:rPr>
          <w:lang w:val="fr-FR"/>
        </w:rPr>
        <w:t>Marges de reculement</w:t>
      </w:r>
    </w:p>
    <w:p w14:paraId="1EE5183D" w14:textId="4D7C6B36" w:rsidR="00347C09" w:rsidRPr="00347C09" w:rsidRDefault="00347C09" w:rsidP="00347C09">
      <w:pPr>
        <w:rPr>
          <w:lang w:val="fr-FR"/>
        </w:rPr>
      </w:pPr>
      <w:r w:rsidRPr="00347C09">
        <w:rPr>
          <w:lang w:val="fr-FR"/>
        </w:rPr>
        <w:t>Les marges de recu</w:t>
      </w:r>
      <w:r>
        <w:rPr>
          <w:lang w:val="fr-FR"/>
        </w:rPr>
        <w:t>lement sont définies comme suit</w:t>
      </w:r>
      <w:r w:rsidRPr="00347C09">
        <w:rPr>
          <w:lang w:val="fr-FR"/>
        </w:rPr>
        <w:t>:</w:t>
      </w:r>
    </w:p>
    <w:p w14:paraId="309A5EC9" w14:textId="5494C6EE" w:rsidR="00347C09" w:rsidRDefault="00347C09" w:rsidP="00347C09">
      <w:pPr>
        <w:pStyle w:val="ListParagraph"/>
        <w:numPr>
          <w:ilvl w:val="0"/>
          <w:numId w:val="9"/>
        </w:numPr>
        <w:rPr>
          <w:lang w:val="fr-FR"/>
        </w:rPr>
      </w:pPr>
      <w:proofErr w:type="gramStart"/>
      <w:r w:rsidRPr="00347C09">
        <w:rPr>
          <w:lang w:val="fr-FR"/>
        </w:rPr>
        <w:t>recul</w:t>
      </w:r>
      <w:proofErr w:type="gramEnd"/>
      <w:r>
        <w:rPr>
          <w:lang w:val="fr-FR"/>
        </w:rPr>
        <w:t xml:space="preserve"> avant: 3,00 mètres au minimum</w:t>
      </w:r>
      <w:r w:rsidRPr="00347C09">
        <w:rPr>
          <w:lang w:val="fr-FR"/>
        </w:rPr>
        <w:t>;</w:t>
      </w:r>
    </w:p>
    <w:p w14:paraId="7268B009" w14:textId="275F3061" w:rsidR="00347C09" w:rsidRDefault="00347C09" w:rsidP="00347C09">
      <w:pPr>
        <w:pStyle w:val="ListParagraph"/>
        <w:numPr>
          <w:ilvl w:val="0"/>
          <w:numId w:val="9"/>
        </w:numPr>
        <w:rPr>
          <w:lang w:val="fr-FR"/>
        </w:rPr>
      </w:pPr>
      <w:proofErr w:type="gramStart"/>
      <w:r>
        <w:rPr>
          <w:lang w:val="fr-FR"/>
        </w:rPr>
        <w:t>recul</w:t>
      </w:r>
      <w:proofErr w:type="gramEnd"/>
      <w:r>
        <w:rPr>
          <w:lang w:val="fr-FR"/>
        </w:rPr>
        <w:t xml:space="preserve"> latéral</w:t>
      </w:r>
      <w:r w:rsidRPr="00347C09">
        <w:rPr>
          <w:lang w:val="fr-FR"/>
        </w:rPr>
        <w:t>: 3,00 mètres au</w:t>
      </w:r>
      <w:r>
        <w:rPr>
          <w:lang w:val="fr-FR"/>
        </w:rPr>
        <w:t xml:space="preserve"> minimum</w:t>
      </w:r>
      <w:r w:rsidRPr="00347C09">
        <w:rPr>
          <w:lang w:val="fr-FR"/>
        </w:rPr>
        <w:t>;</w:t>
      </w:r>
    </w:p>
    <w:p w14:paraId="6794C465" w14:textId="04549E47" w:rsidR="00347C09" w:rsidRPr="00347C09" w:rsidRDefault="00347C09" w:rsidP="00347C09">
      <w:pPr>
        <w:pStyle w:val="ListParagraph"/>
        <w:numPr>
          <w:ilvl w:val="0"/>
          <w:numId w:val="9"/>
        </w:numPr>
        <w:rPr>
          <w:lang w:val="fr-FR"/>
        </w:rPr>
      </w:pPr>
      <w:proofErr w:type="gramStart"/>
      <w:r>
        <w:rPr>
          <w:lang w:val="fr-FR"/>
        </w:rPr>
        <w:t>recul</w:t>
      </w:r>
      <w:proofErr w:type="gramEnd"/>
      <w:r>
        <w:rPr>
          <w:lang w:val="fr-FR"/>
        </w:rPr>
        <w:t xml:space="preserve"> arrière</w:t>
      </w:r>
      <w:r w:rsidRPr="00347C09">
        <w:rPr>
          <w:lang w:val="fr-FR"/>
        </w:rPr>
        <w:t>: 3,00 mètres au minimum.</w:t>
      </w:r>
    </w:p>
    <w:p w14:paraId="513F32ED" w14:textId="2C04A10F" w:rsidR="00347C09" w:rsidRPr="00347C09" w:rsidRDefault="00347C09" w:rsidP="00347C09">
      <w:pPr>
        <w:rPr>
          <w:lang w:val="fr-FR"/>
        </w:rPr>
      </w:pPr>
      <w:r w:rsidRPr="00347C09">
        <w:rPr>
          <w:lang w:val="fr-FR"/>
        </w:rPr>
        <w:t>Les marges de reculement sont mesurées selon</w:t>
      </w:r>
      <w:r>
        <w:rPr>
          <w:lang w:val="fr-FR"/>
        </w:rPr>
        <w:t xml:space="preserve"> les dispositions de l’Art. 36.</w:t>
      </w:r>
    </w:p>
    <w:p w14:paraId="00919EF2" w14:textId="4F7CC0B2" w:rsidR="00347C09" w:rsidRPr="00347C09" w:rsidRDefault="00347C09" w:rsidP="00347C09">
      <w:pPr>
        <w:pStyle w:val="Heading2"/>
        <w:rPr>
          <w:lang w:val="fr-FR"/>
        </w:rPr>
      </w:pPr>
      <w:r>
        <w:rPr>
          <w:lang w:val="fr-FR"/>
        </w:rPr>
        <w:t xml:space="preserve">Art. 9.4 </w:t>
      </w:r>
      <w:r w:rsidRPr="00347C09">
        <w:rPr>
          <w:lang w:val="fr-FR"/>
        </w:rPr>
        <w:t>Gabarit</w:t>
      </w:r>
    </w:p>
    <w:p w14:paraId="6D8B4C27" w14:textId="71E98427" w:rsidR="00347C09" w:rsidRPr="00347C09" w:rsidRDefault="00347C09" w:rsidP="00347C09">
      <w:pPr>
        <w:pStyle w:val="ListParagraph"/>
        <w:numPr>
          <w:ilvl w:val="0"/>
          <w:numId w:val="11"/>
        </w:numPr>
        <w:rPr>
          <w:lang w:val="fr-FR"/>
        </w:rPr>
      </w:pPr>
      <w:r w:rsidRPr="00347C09">
        <w:rPr>
          <w:lang w:val="fr-FR"/>
        </w:rPr>
        <w:t>La profondeur maximale des bâtiments est définie par la surface résultante des marges de reculement sur les limites de propriété.</w:t>
      </w:r>
    </w:p>
    <w:p w14:paraId="13F574C0" w14:textId="49CCE6BE" w:rsidR="00347C09" w:rsidRPr="00347C09" w:rsidRDefault="00347C09" w:rsidP="00347C09">
      <w:pPr>
        <w:pStyle w:val="ListParagraph"/>
        <w:numPr>
          <w:ilvl w:val="0"/>
          <w:numId w:val="11"/>
        </w:numPr>
        <w:rPr>
          <w:lang w:val="fr-FR"/>
        </w:rPr>
      </w:pPr>
      <w:r w:rsidRPr="00347C09">
        <w:rPr>
          <w:lang w:val="fr-FR"/>
        </w:rPr>
        <w:t>Les constructions ont 1 niveau hors-sol au maximum.</w:t>
      </w:r>
    </w:p>
    <w:p w14:paraId="4A8C9D13" w14:textId="6E4856D7" w:rsidR="00347C09" w:rsidRPr="00347C09" w:rsidRDefault="00347C09" w:rsidP="00347C09">
      <w:pPr>
        <w:pStyle w:val="ListParagraph"/>
        <w:numPr>
          <w:ilvl w:val="0"/>
          <w:numId w:val="11"/>
        </w:numPr>
        <w:rPr>
          <w:lang w:val="fr-FR"/>
        </w:rPr>
      </w:pPr>
      <w:r w:rsidRPr="00347C09">
        <w:rPr>
          <w:lang w:val="fr-FR"/>
        </w:rPr>
        <w:t>La hauteur maximale des constructions est de 4,00 mètres. Les hauteurs sont mesurées par rapport au terrain naturel existant.</w:t>
      </w:r>
    </w:p>
    <w:p w14:paraId="38FDEE07" w14:textId="3B1D901F" w:rsidR="006605E2" w:rsidRPr="00347C09" w:rsidRDefault="00347C09" w:rsidP="00B41CEC">
      <w:pPr>
        <w:pStyle w:val="ListParagraph"/>
        <w:numPr>
          <w:ilvl w:val="0"/>
          <w:numId w:val="11"/>
        </w:numPr>
        <w:rPr>
          <w:lang w:val="fr-FR"/>
        </w:rPr>
      </w:pPr>
      <w:r w:rsidRPr="00347C09">
        <w:rPr>
          <w:lang w:val="fr-FR"/>
        </w:rPr>
        <w:t>Le bourgmestre peut autoriser une augmentation de la hauteur pour des constructions spéciales et des équipements techniques.</w:t>
      </w:r>
      <w:bookmarkStart w:id="0" w:name="_GoBack"/>
      <w:bookmarkEnd w:id="0"/>
    </w:p>
    <w:sectPr w:rsidR="006605E2" w:rsidRPr="00347C0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67F0F68"/>
    <w:multiLevelType w:val="hybridMultilevel"/>
    <w:tmpl w:val="E2C65ED6"/>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D1B02AA"/>
    <w:multiLevelType w:val="hybridMultilevel"/>
    <w:tmpl w:val="DA2A0FDA"/>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5"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FE5125B"/>
    <w:multiLevelType w:val="hybridMultilevel"/>
    <w:tmpl w:val="9FDE83DC"/>
    <w:lvl w:ilvl="0" w:tplc="140C000F">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8"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20465B2"/>
    <w:multiLevelType w:val="hybridMultilevel"/>
    <w:tmpl w:val="D5409FE0"/>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0" w15:restartNumberingAfterBreak="0">
    <w:nsid w:val="7FF818D6"/>
    <w:multiLevelType w:val="hybridMultilevel"/>
    <w:tmpl w:val="DA22F064"/>
    <w:lvl w:ilvl="0" w:tplc="140C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num w:numId="1">
    <w:abstractNumId w:val="5"/>
  </w:num>
  <w:num w:numId="2">
    <w:abstractNumId w:val="6"/>
  </w:num>
  <w:num w:numId="3">
    <w:abstractNumId w:val="8"/>
  </w:num>
  <w:num w:numId="4">
    <w:abstractNumId w:val="0"/>
  </w:num>
  <w:num w:numId="5">
    <w:abstractNumId w:val="1"/>
  </w:num>
  <w:num w:numId="6">
    <w:abstractNumId w:val="3"/>
  </w:num>
  <w:num w:numId="7">
    <w:abstractNumId w:val="7"/>
  </w:num>
  <w:num w:numId="8">
    <w:abstractNumId w:val="9"/>
  </w:num>
  <w:num w:numId="9">
    <w:abstractNumId w:val="4"/>
  </w:num>
  <w:num w:numId="10">
    <w:abstractNumId w:val="10"/>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47C09"/>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219</Words>
  <Characters>1208</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2021-10-19T12:36:00Z</dcterms:modified>
</cp:coreProperties>
</file>