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7EA8F" w14:textId="18F85BA1" w:rsidR="0059744F" w:rsidRPr="0059744F" w:rsidRDefault="0059744F" w:rsidP="0059744F">
      <w:pPr>
        <w:pStyle w:val="Heading1"/>
        <w:rPr>
          <w:lang w:val="fr-FR"/>
        </w:rPr>
      </w:pPr>
      <w:r w:rsidRPr="0059744F">
        <w:rPr>
          <w:lang w:val="fr-FR"/>
        </w:rPr>
        <w:t>Art. 1</w:t>
      </w:r>
      <w:r>
        <w:rPr>
          <w:lang w:val="fr-FR"/>
        </w:rPr>
        <w:t xml:space="preserve"> Zones d’habitation</w:t>
      </w:r>
    </w:p>
    <w:p w14:paraId="2CCE33E9" w14:textId="39217440" w:rsidR="0059744F" w:rsidRPr="0059744F" w:rsidRDefault="0059744F" w:rsidP="0059744F">
      <w:pPr>
        <w:pStyle w:val="Heading2"/>
        <w:rPr>
          <w:lang w:val="fr-FR"/>
        </w:rPr>
      </w:pPr>
      <w:r>
        <w:rPr>
          <w:lang w:val="fr-FR"/>
        </w:rPr>
        <w:t xml:space="preserve">Art. 1.1 </w:t>
      </w:r>
      <w:r w:rsidRPr="0059744F">
        <w:rPr>
          <w:lang w:val="fr-FR"/>
        </w:rPr>
        <w:t>Zone d’habitation 1 [HAB-1]</w:t>
      </w:r>
    </w:p>
    <w:p w14:paraId="7DAA41D0" w14:textId="77777777" w:rsidR="0059744F" w:rsidRPr="0059744F" w:rsidRDefault="0059744F" w:rsidP="0059744F">
      <w:pPr>
        <w:rPr>
          <w:lang w:val="fr-FR"/>
        </w:rPr>
      </w:pPr>
      <w:r w:rsidRPr="0059744F">
        <w:rPr>
          <w:lang w:val="fr-FR"/>
        </w:rPr>
        <w:t>Les zones d’habitation 1 [HAB-1] englobent les terrains réservés à titre principal aux habitations.</w:t>
      </w:r>
    </w:p>
    <w:p w14:paraId="52DB11E7" w14:textId="77777777" w:rsidR="0059744F" w:rsidRDefault="0059744F" w:rsidP="0059744F">
      <w:pPr>
        <w:rPr>
          <w:lang w:val="fr-FR"/>
        </w:rPr>
      </w:pPr>
      <w:r>
        <w:rPr>
          <w:lang w:val="fr-FR"/>
        </w:rPr>
        <w:t>Y sont également admis:</w:t>
      </w:r>
    </w:p>
    <w:p w14:paraId="45A3E35D" w14:textId="5E96612F" w:rsidR="0059744F" w:rsidRDefault="0059744F" w:rsidP="0059744F">
      <w:pPr>
        <w:pStyle w:val="ListParagraph"/>
        <w:numPr>
          <w:ilvl w:val="0"/>
          <w:numId w:val="7"/>
        </w:numPr>
        <w:rPr>
          <w:lang w:val="fr-FR"/>
        </w:rPr>
      </w:pPr>
      <w:proofErr w:type="gramStart"/>
      <w:r w:rsidRPr="0059744F">
        <w:rPr>
          <w:lang w:val="fr-FR"/>
        </w:rPr>
        <w:t>des</w:t>
      </w:r>
      <w:proofErr w:type="gramEnd"/>
      <w:r w:rsidRPr="0059744F">
        <w:rPr>
          <w:lang w:val="fr-FR"/>
        </w:rPr>
        <w:t xml:space="preserve"> activités de commerce avec max</w:t>
      </w:r>
      <w:r>
        <w:rPr>
          <w:lang w:val="fr-FR"/>
        </w:rPr>
        <w:t>imum 200 m</w:t>
      </w:r>
      <w:r w:rsidRPr="0059744F">
        <w:rPr>
          <w:vertAlign w:val="superscript"/>
          <w:lang w:val="fr-FR"/>
        </w:rPr>
        <w:t>2</w:t>
      </w:r>
      <w:r>
        <w:rPr>
          <w:lang w:val="fr-FR"/>
        </w:rPr>
        <w:t xml:space="preserve"> de surface de vente</w:t>
      </w:r>
      <w:r w:rsidRPr="0059744F">
        <w:rPr>
          <w:lang w:val="fr-FR"/>
        </w:rPr>
        <w:t>;</w:t>
      </w:r>
    </w:p>
    <w:p w14:paraId="33B0FD39" w14:textId="102FC5D1" w:rsidR="0059744F" w:rsidRDefault="0059744F" w:rsidP="0059744F">
      <w:pPr>
        <w:pStyle w:val="ListParagraph"/>
        <w:numPr>
          <w:ilvl w:val="0"/>
          <w:numId w:val="7"/>
        </w:numPr>
        <w:rPr>
          <w:lang w:val="fr-FR"/>
        </w:rPr>
      </w:pPr>
      <w:proofErr w:type="gramStart"/>
      <w:r w:rsidRPr="0059744F">
        <w:rPr>
          <w:lang w:val="fr-FR"/>
        </w:rPr>
        <w:t>des</w:t>
      </w:r>
      <w:proofErr w:type="gramEnd"/>
      <w:r w:rsidRPr="0059744F">
        <w:rPr>
          <w:lang w:val="fr-FR"/>
        </w:rPr>
        <w:t xml:space="preserve"> acti</w:t>
      </w:r>
      <w:r>
        <w:rPr>
          <w:lang w:val="fr-FR"/>
        </w:rPr>
        <w:t>vités artisanales et de loisirs</w:t>
      </w:r>
      <w:r w:rsidRPr="0059744F">
        <w:rPr>
          <w:lang w:val="fr-FR"/>
        </w:rPr>
        <w:t>;</w:t>
      </w:r>
    </w:p>
    <w:p w14:paraId="1AB09FBD" w14:textId="7AB05DB8" w:rsidR="0059744F" w:rsidRDefault="0059744F" w:rsidP="0059744F">
      <w:pPr>
        <w:pStyle w:val="ListParagraph"/>
        <w:numPr>
          <w:ilvl w:val="0"/>
          <w:numId w:val="7"/>
        </w:numPr>
        <w:rPr>
          <w:lang w:val="fr-FR"/>
        </w:rPr>
      </w:pPr>
      <w:proofErr w:type="gramStart"/>
      <w:r w:rsidRPr="0059744F">
        <w:rPr>
          <w:lang w:val="fr-FR"/>
        </w:rPr>
        <w:t>des</w:t>
      </w:r>
      <w:proofErr w:type="gramEnd"/>
      <w:r w:rsidRPr="0059744F">
        <w:rPr>
          <w:lang w:val="fr-FR"/>
        </w:rPr>
        <w:t xml:space="preserve"> services a</w:t>
      </w:r>
      <w:r>
        <w:rPr>
          <w:lang w:val="fr-FR"/>
        </w:rPr>
        <w:t>dministratifs ou professionnels</w:t>
      </w:r>
      <w:r w:rsidRPr="0059744F">
        <w:rPr>
          <w:lang w:val="fr-FR"/>
        </w:rPr>
        <w:t>;</w:t>
      </w:r>
    </w:p>
    <w:p w14:paraId="39F09EE4" w14:textId="6C527800" w:rsidR="0059744F" w:rsidRDefault="0059744F" w:rsidP="0059744F">
      <w:pPr>
        <w:pStyle w:val="ListParagraph"/>
        <w:numPr>
          <w:ilvl w:val="0"/>
          <w:numId w:val="7"/>
        </w:numPr>
        <w:rPr>
          <w:lang w:val="fr-FR"/>
        </w:rPr>
      </w:pPr>
      <w:proofErr w:type="gramStart"/>
      <w:r>
        <w:rPr>
          <w:lang w:val="fr-FR"/>
        </w:rPr>
        <w:t>des</w:t>
      </w:r>
      <w:proofErr w:type="gramEnd"/>
      <w:r>
        <w:rPr>
          <w:lang w:val="fr-FR"/>
        </w:rPr>
        <w:t xml:space="preserve"> crèches</w:t>
      </w:r>
      <w:r w:rsidRPr="0059744F">
        <w:rPr>
          <w:lang w:val="fr-FR"/>
        </w:rPr>
        <w:t>;</w:t>
      </w:r>
    </w:p>
    <w:p w14:paraId="22067784" w14:textId="4F26AE43" w:rsidR="0059744F" w:rsidRDefault="0059744F" w:rsidP="0059744F">
      <w:pPr>
        <w:pStyle w:val="ListParagraph"/>
        <w:numPr>
          <w:ilvl w:val="0"/>
          <w:numId w:val="7"/>
        </w:numPr>
        <w:rPr>
          <w:lang w:val="fr-FR"/>
        </w:rPr>
      </w:pPr>
      <w:proofErr w:type="gramStart"/>
      <w:r w:rsidRPr="0059744F">
        <w:rPr>
          <w:lang w:val="fr-FR"/>
        </w:rPr>
        <w:t>des</w:t>
      </w:r>
      <w:proofErr w:type="gramEnd"/>
      <w:r w:rsidRPr="0059744F">
        <w:rPr>
          <w:lang w:val="fr-FR"/>
        </w:rPr>
        <w:t xml:space="preserve"> établissements d’hébergeme</w:t>
      </w:r>
      <w:r>
        <w:rPr>
          <w:lang w:val="fr-FR"/>
        </w:rPr>
        <w:t>nt comptant maximum 25 chambres</w:t>
      </w:r>
      <w:r w:rsidRPr="0059744F">
        <w:rPr>
          <w:lang w:val="fr-FR"/>
        </w:rPr>
        <w:t>;</w:t>
      </w:r>
    </w:p>
    <w:p w14:paraId="7A1BE4B3" w14:textId="5EF43E2A" w:rsidR="0059744F" w:rsidRDefault="0059744F" w:rsidP="0059744F">
      <w:pPr>
        <w:pStyle w:val="ListParagraph"/>
        <w:numPr>
          <w:ilvl w:val="0"/>
          <w:numId w:val="7"/>
        </w:numPr>
        <w:rPr>
          <w:lang w:val="fr-FR"/>
        </w:rPr>
      </w:pPr>
      <w:proofErr w:type="gramStart"/>
      <w:r w:rsidRPr="0059744F">
        <w:rPr>
          <w:lang w:val="fr-FR"/>
        </w:rPr>
        <w:t>des</w:t>
      </w:r>
      <w:proofErr w:type="gramEnd"/>
      <w:r w:rsidRPr="0059744F">
        <w:rPr>
          <w:lang w:val="fr-FR"/>
        </w:rPr>
        <w:t xml:space="preserve"> rest</w:t>
      </w:r>
      <w:r>
        <w:rPr>
          <w:lang w:val="fr-FR"/>
        </w:rPr>
        <w:t>aurants</w:t>
      </w:r>
      <w:r w:rsidRPr="0059744F">
        <w:rPr>
          <w:lang w:val="fr-FR"/>
        </w:rPr>
        <w:t>;</w:t>
      </w:r>
    </w:p>
    <w:p w14:paraId="54E4288F" w14:textId="6CF06E84" w:rsidR="0059744F" w:rsidRDefault="0059744F" w:rsidP="0059744F">
      <w:pPr>
        <w:pStyle w:val="ListParagraph"/>
        <w:numPr>
          <w:ilvl w:val="0"/>
          <w:numId w:val="7"/>
        </w:numPr>
        <w:rPr>
          <w:lang w:val="fr-FR"/>
        </w:rPr>
      </w:pPr>
      <w:proofErr w:type="gramStart"/>
      <w:r>
        <w:rPr>
          <w:lang w:val="fr-FR"/>
        </w:rPr>
        <w:t>des</w:t>
      </w:r>
      <w:proofErr w:type="gramEnd"/>
      <w:r>
        <w:rPr>
          <w:lang w:val="fr-FR"/>
        </w:rPr>
        <w:t xml:space="preserve"> débits de boissons</w:t>
      </w:r>
      <w:r w:rsidRPr="0059744F">
        <w:rPr>
          <w:lang w:val="fr-FR"/>
        </w:rPr>
        <w:t>;</w:t>
      </w:r>
    </w:p>
    <w:p w14:paraId="444897C3" w14:textId="6C189F59" w:rsidR="0059744F" w:rsidRDefault="0059744F" w:rsidP="0059744F">
      <w:pPr>
        <w:pStyle w:val="ListParagraph"/>
        <w:numPr>
          <w:ilvl w:val="0"/>
          <w:numId w:val="7"/>
        </w:numPr>
        <w:rPr>
          <w:lang w:val="fr-FR"/>
        </w:rPr>
      </w:pPr>
      <w:proofErr w:type="gramStart"/>
      <w:r>
        <w:rPr>
          <w:lang w:val="fr-FR"/>
        </w:rPr>
        <w:t>des</w:t>
      </w:r>
      <w:proofErr w:type="gramEnd"/>
      <w:r>
        <w:rPr>
          <w:lang w:val="fr-FR"/>
        </w:rPr>
        <w:t xml:space="preserve"> activités culturelles</w:t>
      </w:r>
      <w:r w:rsidRPr="0059744F">
        <w:rPr>
          <w:lang w:val="fr-FR"/>
        </w:rPr>
        <w:t>;</w:t>
      </w:r>
    </w:p>
    <w:p w14:paraId="4424CEDB" w14:textId="06C1B60A" w:rsidR="0059744F" w:rsidRDefault="0059744F" w:rsidP="0059744F">
      <w:pPr>
        <w:pStyle w:val="ListParagraph"/>
        <w:numPr>
          <w:ilvl w:val="0"/>
          <w:numId w:val="7"/>
        </w:numPr>
        <w:rPr>
          <w:lang w:val="fr-FR"/>
        </w:rPr>
      </w:pPr>
      <w:proofErr w:type="gramStart"/>
      <w:r>
        <w:rPr>
          <w:lang w:val="fr-FR"/>
        </w:rPr>
        <w:t>des</w:t>
      </w:r>
      <w:proofErr w:type="gramEnd"/>
      <w:r>
        <w:rPr>
          <w:lang w:val="fr-FR"/>
        </w:rPr>
        <w:t xml:space="preserve"> activités de culte</w:t>
      </w:r>
      <w:r w:rsidRPr="0059744F">
        <w:rPr>
          <w:lang w:val="fr-FR"/>
        </w:rPr>
        <w:t>;</w:t>
      </w:r>
    </w:p>
    <w:p w14:paraId="1E69584D" w14:textId="26EB0937" w:rsidR="0059744F" w:rsidRDefault="0059744F" w:rsidP="0059744F">
      <w:pPr>
        <w:pStyle w:val="ListParagraph"/>
        <w:numPr>
          <w:ilvl w:val="0"/>
          <w:numId w:val="7"/>
        </w:numPr>
        <w:rPr>
          <w:lang w:val="fr-FR"/>
        </w:rPr>
      </w:pPr>
      <w:proofErr w:type="gramStart"/>
      <w:r w:rsidRPr="0059744F">
        <w:rPr>
          <w:lang w:val="fr-FR"/>
        </w:rPr>
        <w:t>de</w:t>
      </w:r>
      <w:r>
        <w:rPr>
          <w:lang w:val="fr-FR"/>
        </w:rPr>
        <w:t>s</w:t>
      </w:r>
      <w:proofErr w:type="gramEnd"/>
      <w:r>
        <w:rPr>
          <w:lang w:val="fr-FR"/>
        </w:rPr>
        <w:t xml:space="preserve"> équipements de service public</w:t>
      </w:r>
      <w:r w:rsidRPr="0059744F">
        <w:rPr>
          <w:lang w:val="fr-FR"/>
        </w:rPr>
        <w:t>;</w:t>
      </w:r>
    </w:p>
    <w:p w14:paraId="7BA9CC6D" w14:textId="30B80374" w:rsidR="0059744F" w:rsidRPr="0059744F" w:rsidRDefault="0059744F" w:rsidP="0059744F">
      <w:pPr>
        <w:pStyle w:val="ListParagraph"/>
        <w:numPr>
          <w:ilvl w:val="0"/>
          <w:numId w:val="7"/>
        </w:numPr>
        <w:rPr>
          <w:lang w:val="fr-FR"/>
        </w:rPr>
      </w:pPr>
      <w:proofErr w:type="gramStart"/>
      <w:r w:rsidRPr="0059744F">
        <w:rPr>
          <w:lang w:val="fr-FR"/>
        </w:rPr>
        <w:t>des</w:t>
      </w:r>
      <w:proofErr w:type="gramEnd"/>
      <w:r w:rsidRPr="0059744F">
        <w:rPr>
          <w:lang w:val="fr-FR"/>
        </w:rPr>
        <w:t xml:space="preserve"> espaces libres correspondant à l’ensemble de ces fonctions.</w:t>
      </w:r>
    </w:p>
    <w:p w14:paraId="3C145F25" w14:textId="77777777" w:rsidR="0059744F" w:rsidRPr="0059744F" w:rsidRDefault="0059744F" w:rsidP="0059744F">
      <w:pPr>
        <w:rPr>
          <w:lang w:val="fr-FR"/>
        </w:rPr>
      </w:pPr>
      <w:r w:rsidRPr="0059744F">
        <w:rPr>
          <w:lang w:val="fr-FR"/>
        </w:rPr>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14:paraId="7492D77E" w14:textId="77777777" w:rsidR="0059744F" w:rsidRPr="0059744F" w:rsidRDefault="0059744F" w:rsidP="0059744F">
      <w:pPr>
        <w:rPr>
          <w:lang w:val="fr-FR"/>
        </w:rPr>
      </w:pPr>
      <w:r w:rsidRPr="0059744F">
        <w:rPr>
          <w:lang w:val="fr-FR"/>
        </w:rPr>
        <w:t>La zone d’habitation 1 est principalement destinée aux logements de type maison unifamiliale. Des maisons plurifamiliales y sont également admises.</w:t>
      </w:r>
    </w:p>
    <w:p w14:paraId="38FDEE07" w14:textId="3E89E625" w:rsidR="006605E2" w:rsidRPr="006605E2" w:rsidRDefault="0059744F" w:rsidP="0059744F">
      <w:pPr>
        <w:rPr>
          <w:lang w:val="fr-FR"/>
        </w:rPr>
      </w:pPr>
      <w:r w:rsidRPr="0059744F">
        <w:rPr>
          <w:lang w:val="fr-FR"/>
        </w:rPr>
        <w:t xml:space="preserve">Pour tout plan d’aménagement particulier </w:t>
      </w:r>
      <w:r>
        <w:rPr>
          <w:lang w:val="fr-FR"/>
        </w:rPr>
        <w:t>« nouveau quartier »</w:t>
      </w:r>
      <w:r w:rsidRPr="0059744F">
        <w:rPr>
          <w:lang w:val="fr-FR"/>
        </w:rPr>
        <w:t xml:space="preserve"> exécutant une zone d’habitation 1, au moins soixante </w:t>
      </w:r>
      <w:r>
        <w:rPr>
          <w:lang w:val="fr-FR"/>
        </w:rPr>
        <w:t xml:space="preserve">(60) </w:t>
      </w:r>
      <w:bookmarkStart w:id="0" w:name="_GoBack"/>
      <w:bookmarkEnd w:id="0"/>
      <w:r w:rsidRPr="0059744F">
        <w:rPr>
          <w:lang w:val="fr-FR"/>
        </w:rPr>
        <w:t xml:space="preserve">pour cent des logements sont de type maisons d’habitation unifamiliale. Dans toutes les localités de la commune la surface construite brute à dédier à des fins de logement est de quatre-vingt-dix (90) pour cent au minimum, sauf à Angelsberg, où cette quote-part est limitée à quatre-vingts (80) pour cent au minimum. Le nombre maximal d’unités de logement par construction plurifamiliale est limité à six (6) unités de logement dans les localités de </w:t>
      </w:r>
      <w:proofErr w:type="spellStart"/>
      <w:r w:rsidRPr="0059744F">
        <w:rPr>
          <w:lang w:val="fr-FR"/>
        </w:rPr>
        <w:t>Fischbach</w:t>
      </w:r>
      <w:proofErr w:type="spellEnd"/>
      <w:r w:rsidRPr="0059744F">
        <w:rPr>
          <w:lang w:val="fr-FR"/>
        </w:rPr>
        <w:t xml:space="preserve"> et </w:t>
      </w:r>
      <w:proofErr w:type="spellStart"/>
      <w:r w:rsidRPr="0059744F">
        <w:rPr>
          <w:lang w:val="fr-FR"/>
        </w:rPr>
        <w:t>Schoos</w:t>
      </w:r>
      <w:proofErr w:type="spellEnd"/>
      <w:r w:rsidRPr="0059744F">
        <w:rPr>
          <w:lang w:val="fr-FR"/>
        </w:rPr>
        <w:t>, et huit (8) unités de logements dans la localité d’Angelsberg.</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4A022E"/>
    <w:multiLevelType w:val="hybridMultilevel"/>
    <w:tmpl w:val="B50C326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9744F"/>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2021-06-11T06:48:00Z</dcterms:modified>
</cp:coreProperties>
</file>