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B3B7D" w14:textId="281B3B6A" w:rsidR="00EF264B" w:rsidRDefault="00EF264B" w:rsidP="00EF264B">
      <w:pPr>
        <w:pStyle w:val="Heading2"/>
      </w:pPr>
      <w:r>
        <w:t>Art. 21.6 Alignements d’une construction existante à préserver</w:t>
      </w:r>
    </w:p>
    <w:p w14:paraId="03B5D247" w14:textId="5678252F" w:rsidR="00EF264B" w:rsidRDefault="00EF264B" w:rsidP="00EF264B">
      <w:r>
        <w:t xml:space="preserve">L'alignement d’une construction existante à préserver doit être conservé lors de tout projet de </w:t>
      </w:r>
      <w:bookmarkStart w:id="0" w:name="_GoBack"/>
      <w:bookmarkEnd w:id="0"/>
      <w:r>
        <w:t>transformation ou de reconstruction. La façade en question doit respecter l’alignement obligatoire sur au moins deux tiers de la surface.</w:t>
      </w:r>
    </w:p>
    <w:p w14:paraId="7150932E" w14:textId="60209700" w:rsidR="00EF264B" w:rsidRDefault="00EF264B" w:rsidP="00EF264B">
      <w:r>
        <w:t>L'alignement d’une construction existante à préserver prime sur toutes autres prescriptions relatives aux marges de reculement, notamment celles définies dans les PAP « quartiers existants » et/ou toutes autres prescriptions émises par des administrations étatiques y relatives. En cas d’impossibilité d’observation ou dans le but de l’amélioration du domaine public, exceptionnellement, une dérogation peut être approuvée ou imposée.</w:t>
      </w:r>
    </w:p>
    <w:p w14:paraId="3B2B3E0D" w14:textId="77777777" w:rsidR="00EF264B" w:rsidRDefault="00EF264B" w:rsidP="00EF264B">
      <w:r>
        <w:t>Des saillies et des retraits par rapport à cet alignement sont interdits. En cas d’impossibilité d’observation de l’alignement défini en partie écrite, le bourgmestre peut accorder une dérogation jusqu’à 0,50 mètre de manière exceptionnelle.</w:t>
      </w:r>
    </w:p>
    <w:p w14:paraId="38FDEE07" w14:textId="04F859C2" w:rsidR="006605E2" w:rsidRPr="007D461A" w:rsidRDefault="00EF264B" w:rsidP="00EF264B">
      <w:r>
        <w:t>En cas de divergence entre l’inscription de la construction sur le fond de plan, c.à.d. le plan cadastral, et l’implantation réelle, l’alignement des façades et/ou le volume des constructions existantes fait foi. Un mesurage cadastral peut être demandé.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CF3717"/>
    <w:rsid w:val="00D35FE3"/>
    <w:rsid w:val="00EA7952"/>
    <w:rsid w:val="00EB23F4"/>
    <w:rsid w:val="00EF264B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2022-08-09T06:54:00Z</dcterms:modified>
</cp:coreProperties>
</file>