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351E1" w14:textId="724DFA05" w:rsidR="005F6049" w:rsidRDefault="005F6049" w:rsidP="005F6049">
      <w:pPr>
        <w:pStyle w:val="Heading1"/>
      </w:pPr>
      <w:r>
        <w:t>Art. 5 Zone spéciale « </w:t>
      </w:r>
      <w:proofErr w:type="spellStart"/>
      <w:r>
        <w:t>Roudland</w:t>
      </w:r>
      <w:proofErr w:type="spellEnd"/>
      <w:r>
        <w:t> » [SPEC]</w:t>
      </w:r>
    </w:p>
    <w:p w14:paraId="77FC7DAA" w14:textId="0FCB1BFB" w:rsidR="00D33A85" w:rsidRDefault="005F6049" w:rsidP="005F6049">
      <w:r>
        <w:t>La zone spéciale « </w:t>
      </w:r>
      <w:proofErr w:type="spellStart"/>
      <w:r>
        <w:t>Roudland</w:t>
      </w:r>
      <w:proofErr w:type="spellEnd"/>
      <w:r>
        <w:t> » est réservée aux activités de ventes des articles de jardinage et de boissons existantes et des activités connexes. Y sont interdites toutes nouvelles constructions. Des travaux de transformations, de conservation et d’entretien sont admises.</w:t>
      </w:r>
      <w:bookmarkStart w:id="0" w:name="_GoBack"/>
      <w:bookmarkEnd w:id="0"/>
    </w:p>
    <w:p w14:paraId="0224E3A7" w14:textId="77777777" w:rsidR="00C95E7E" w:rsidRDefault="00C95E7E" w:rsidP="00C95E7E">
      <w:pPr>
        <w:pStyle w:val="Heading1"/>
      </w:pPr>
      <w:r>
        <w:t>Art. 10 Règles applicables à toutes les zones urbanisées</w:t>
      </w:r>
    </w:p>
    <w:p w14:paraId="5C3E2C32" w14:textId="77777777" w:rsidR="00C95E7E" w:rsidRDefault="00C95E7E" w:rsidP="00C95E7E">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54D29A58" w14:textId="4D6B1588" w:rsidR="00C95E7E" w:rsidRPr="007D461A" w:rsidRDefault="00C95E7E" w:rsidP="005F6049">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C95E7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5F6049"/>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95E7E"/>
    <w:rsid w:val="00CB2FE8"/>
    <w:rsid w:val="00CF3132"/>
    <w:rsid w:val="00D33A85"/>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09634">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2022-08-09T06:58:00Z</dcterms:modified>
</cp:coreProperties>
</file>