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AC47" w14:textId="64663CC9" w:rsidR="008A416E" w:rsidRPr="008A416E" w:rsidRDefault="008A416E" w:rsidP="008A416E">
      <w:pPr>
        <w:pStyle w:val="Heading1"/>
      </w:pPr>
      <w:r w:rsidRPr="008A416E">
        <w:t xml:space="preserve">Art. 5 Emplacements de </w:t>
      </w:r>
      <w:proofErr w:type="spellStart"/>
      <w:r w:rsidRPr="008A416E">
        <w:t>stationnement</w:t>
      </w:r>
      <w:proofErr w:type="spellEnd"/>
    </w:p>
    <w:p w14:paraId="6192DB49" w14:textId="40A2A03F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Le nombre minimal et maximal d’emplacements de stationnement pour voitures est défini en</w:t>
      </w:r>
      <w:r>
        <w:rPr>
          <w:lang w:val="fr-FR"/>
        </w:rPr>
        <w:t xml:space="preserve"> </w:t>
      </w:r>
      <w:r w:rsidRPr="008A416E">
        <w:rPr>
          <w:lang w:val="fr-FR"/>
        </w:rPr>
        <w:t>fonction du mode d’utilisation du sol et en fonction de la desserte par les transports publics.</w:t>
      </w:r>
    </w:p>
    <w:p w14:paraId="3F0EE8FC" w14:textId="586D52C4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Les emplacements de stationnement sont requis pour toute nouvelle construction,</w:t>
      </w:r>
      <w:r>
        <w:rPr>
          <w:lang w:val="fr-FR"/>
        </w:rPr>
        <w:t xml:space="preserve"> </w:t>
      </w:r>
      <w:r w:rsidRPr="008A416E">
        <w:rPr>
          <w:lang w:val="fr-FR"/>
        </w:rPr>
        <w:t>reconstruction ou transformation. Tout changement d’affectation d’une construction existante</w:t>
      </w:r>
      <w:r>
        <w:rPr>
          <w:lang w:val="fr-FR"/>
        </w:rPr>
        <w:t xml:space="preserve"> </w:t>
      </w:r>
      <w:r w:rsidRPr="008A416E">
        <w:rPr>
          <w:lang w:val="fr-FR"/>
        </w:rPr>
        <w:t>est soumis aux mêmes dispositions.</w:t>
      </w:r>
    </w:p>
    <w:p w14:paraId="55F7E3DA" w14:textId="5F1FE3E2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Les emplacements de stationnement font partie intégrante du projet soumis pour autorisation</w:t>
      </w:r>
      <w:r>
        <w:rPr>
          <w:lang w:val="fr-FR"/>
        </w:rPr>
        <w:t xml:space="preserve"> </w:t>
      </w:r>
      <w:r w:rsidRPr="008A416E">
        <w:rPr>
          <w:lang w:val="fr-FR"/>
        </w:rPr>
        <w:t>de construire. Les emplacements et le calcul de leur nombre doivent figurer dans le projet</w:t>
      </w:r>
      <w:r>
        <w:rPr>
          <w:lang w:val="fr-FR"/>
        </w:rPr>
        <w:t xml:space="preserve"> </w:t>
      </w:r>
      <w:r w:rsidRPr="008A416E">
        <w:rPr>
          <w:lang w:val="fr-FR"/>
        </w:rPr>
        <w:t>soumis pour autorisation.</w:t>
      </w:r>
    </w:p>
    <w:p w14:paraId="11581F39" w14:textId="318EFF73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Sauf exception autorisée par le Bourgmestre, notamment dans le cas d’emplacements</w:t>
      </w:r>
      <w:r>
        <w:rPr>
          <w:lang w:val="fr-FR"/>
        </w:rPr>
        <w:t xml:space="preserve"> </w:t>
      </w:r>
      <w:r w:rsidRPr="008A416E">
        <w:rPr>
          <w:lang w:val="fr-FR"/>
        </w:rPr>
        <w:t>regroupés, les places de stationnement doivent être aménagées sur le même bien-fonds que la</w:t>
      </w:r>
      <w:r>
        <w:rPr>
          <w:lang w:val="fr-FR"/>
        </w:rPr>
        <w:t xml:space="preserve"> </w:t>
      </w:r>
      <w:r w:rsidRPr="008A416E">
        <w:rPr>
          <w:lang w:val="fr-FR"/>
        </w:rPr>
        <w:t>construction à laquelle elles se rapportent. Les emplacements de stationnement obligatoires</w:t>
      </w:r>
      <w:r>
        <w:rPr>
          <w:lang w:val="fr-FR"/>
        </w:rPr>
        <w:t xml:space="preserve"> </w:t>
      </w:r>
      <w:r w:rsidRPr="008A416E">
        <w:rPr>
          <w:lang w:val="fr-FR"/>
        </w:rPr>
        <w:t>réalisés pour une destination projetée précise, sont liés de manière indissociable à cette</w:t>
      </w:r>
      <w:r>
        <w:rPr>
          <w:lang w:val="fr-FR"/>
        </w:rPr>
        <w:t xml:space="preserve"> </w:t>
      </w:r>
      <w:r w:rsidRPr="008A416E">
        <w:rPr>
          <w:lang w:val="fr-FR"/>
        </w:rPr>
        <w:t>dernière.</w:t>
      </w:r>
    </w:p>
    <w:p w14:paraId="07D1A94D" w14:textId="25A51958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Pour des raisons urbanistiques, architecturales et esthétiques, de mobilité ou de sécurité, le</w:t>
      </w:r>
      <w:r>
        <w:rPr>
          <w:lang w:val="fr-FR"/>
        </w:rPr>
        <w:t xml:space="preserve"> </w:t>
      </w:r>
      <w:r w:rsidRPr="008A416E">
        <w:rPr>
          <w:lang w:val="fr-FR"/>
        </w:rPr>
        <w:t>Bourgmestre peut exiger des emplacements supplémentaires ou réduire le nombre</w:t>
      </w:r>
      <w:r>
        <w:rPr>
          <w:lang w:val="fr-FR"/>
        </w:rPr>
        <w:t xml:space="preserve"> </w:t>
      </w:r>
      <w:r w:rsidRPr="008A416E">
        <w:rPr>
          <w:lang w:val="fr-FR"/>
        </w:rPr>
        <w:t>d’emplacements.</w:t>
      </w:r>
    </w:p>
    <w:p w14:paraId="109F047A" w14:textId="6560F2AB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Le propriétaire est tenu de remplacer sur son fonds et en situation appropriée, les places de</w:t>
      </w:r>
      <w:r>
        <w:rPr>
          <w:lang w:val="fr-FR"/>
        </w:rPr>
        <w:t xml:space="preserve"> </w:t>
      </w:r>
      <w:r w:rsidRPr="008A416E">
        <w:rPr>
          <w:lang w:val="fr-FR"/>
        </w:rPr>
        <w:t>stationnement obligatoires qui ont été supprimées pour quelque cause que ce soit.</w:t>
      </w:r>
    </w:p>
    <w:p w14:paraId="38FDEE07" w14:textId="534A7DE2" w:rsidR="006605E2" w:rsidRDefault="008A416E" w:rsidP="008A416E">
      <w:pPr>
        <w:rPr>
          <w:lang w:val="fr-FR"/>
        </w:rPr>
      </w:pPr>
      <w:r w:rsidRPr="008A416E">
        <w:rPr>
          <w:lang w:val="fr-FR"/>
        </w:rPr>
        <w:t>Le nombre minimal d’emplacements pour voitures à considérer est le suivant</w:t>
      </w:r>
      <w:bookmarkStart w:id="0" w:name="_GoBack"/>
      <w:bookmarkEnd w:id="0"/>
      <w:r w:rsidRPr="008A416E">
        <w:rPr>
          <w:lang w:val="fr-FR"/>
        </w:rPr>
        <w:t>:</w:t>
      </w:r>
    </w:p>
    <w:tbl>
      <w:tblPr>
        <w:tblStyle w:val="TableGrid"/>
        <w:tblW w:w="9067" w:type="dxa"/>
        <w:tblInd w:w="-5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8A416E" w:rsidRPr="008A416E" w14:paraId="7711B07D" w14:textId="77777777" w:rsidTr="008A416E">
        <w:trPr>
          <w:trHeight w:val="463"/>
        </w:trPr>
        <w:tc>
          <w:tcPr>
            <w:tcW w:w="3539" w:type="dxa"/>
            <w:vAlign w:val="center"/>
          </w:tcPr>
          <w:p w14:paraId="33EF7B39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Maison unifamiliale et bifamiliale</w:t>
            </w:r>
          </w:p>
        </w:tc>
        <w:tc>
          <w:tcPr>
            <w:tcW w:w="5528" w:type="dxa"/>
            <w:vAlign w:val="center"/>
          </w:tcPr>
          <w:p w14:paraId="05570970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2 emplacements par unité de logement</w:t>
            </w:r>
          </w:p>
        </w:tc>
      </w:tr>
      <w:tr w:rsidR="008A416E" w:rsidRPr="008A416E" w14:paraId="183A8C51" w14:textId="77777777" w:rsidTr="008A416E">
        <w:trPr>
          <w:trHeight w:val="566"/>
        </w:trPr>
        <w:tc>
          <w:tcPr>
            <w:tcW w:w="3539" w:type="dxa"/>
            <w:vMerge w:val="restart"/>
            <w:vAlign w:val="center"/>
          </w:tcPr>
          <w:p w14:paraId="7CACA6B4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Maison plurifamiliale</w:t>
            </w:r>
          </w:p>
        </w:tc>
        <w:tc>
          <w:tcPr>
            <w:tcW w:w="5528" w:type="dxa"/>
            <w:vAlign w:val="center"/>
          </w:tcPr>
          <w:p w14:paraId="06843038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unité de logement si surface construite brute inférieure à 50,00 mètres carrés</w:t>
            </w:r>
          </w:p>
        </w:tc>
      </w:tr>
      <w:tr w:rsidR="008A416E" w:rsidRPr="008A416E" w14:paraId="1966BEDF" w14:textId="77777777" w:rsidTr="008A416E">
        <w:trPr>
          <w:trHeight w:val="548"/>
        </w:trPr>
        <w:tc>
          <w:tcPr>
            <w:tcW w:w="3539" w:type="dxa"/>
            <w:vMerge/>
            <w:vAlign w:val="center"/>
          </w:tcPr>
          <w:p w14:paraId="1925CD34" w14:textId="77777777" w:rsidR="008A416E" w:rsidRPr="008A416E" w:rsidRDefault="008A416E" w:rsidP="008A416E">
            <w:pPr>
              <w:pStyle w:val="NormalTableau"/>
              <w:jc w:val="left"/>
            </w:pPr>
          </w:p>
        </w:tc>
        <w:tc>
          <w:tcPr>
            <w:tcW w:w="5528" w:type="dxa"/>
            <w:vAlign w:val="center"/>
          </w:tcPr>
          <w:p w14:paraId="5A3E0C32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2 emplacements par unité de logement si surface construite brute supérieure ou égale à 50,00 mètres carrés</w:t>
            </w:r>
          </w:p>
        </w:tc>
      </w:tr>
      <w:tr w:rsidR="008A416E" w:rsidRPr="008A416E" w14:paraId="0953A706" w14:textId="77777777" w:rsidTr="008A416E">
        <w:trPr>
          <w:trHeight w:val="570"/>
        </w:trPr>
        <w:tc>
          <w:tcPr>
            <w:tcW w:w="3539" w:type="dxa"/>
            <w:vMerge/>
            <w:vAlign w:val="center"/>
          </w:tcPr>
          <w:p w14:paraId="15B52949" w14:textId="77777777" w:rsidR="008A416E" w:rsidRPr="008A416E" w:rsidRDefault="008A416E" w:rsidP="008A416E">
            <w:pPr>
              <w:pStyle w:val="NormalTableau"/>
              <w:jc w:val="left"/>
            </w:pPr>
          </w:p>
        </w:tc>
        <w:tc>
          <w:tcPr>
            <w:tcW w:w="5528" w:type="dxa"/>
            <w:vAlign w:val="center"/>
          </w:tcPr>
          <w:p w14:paraId="58DBF505" w14:textId="2B0A1172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supplémentaire pour visiteurs par tranche de 200,00 mètres carrés de surface construite brute</w:t>
            </w:r>
          </w:p>
        </w:tc>
      </w:tr>
      <w:tr w:rsidR="008A416E" w:rsidRPr="008A416E" w14:paraId="4E4A3256" w14:textId="77777777" w:rsidTr="008A416E">
        <w:trPr>
          <w:trHeight w:val="266"/>
        </w:trPr>
        <w:tc>
          <w:tcPr>
            <w:tcW w:w="3539" w:type="dxa"/>
            <w:vAlign w:val="center"/>
          </w:tcPr>
          <w:p w14:paraId="693B3B5D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Logement intégré</w:t>
            </w:r>
          </w:p>
        </w:tc>
        <w:tc>
          <w:tcPr>
            <w:tcW w:w="5528" w:type="dxa"/>
            <w:vAlign w:val="center"/>
          </w:tcPr>
          <w:p w14:paraId="206142BE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unité de logement</w:t>
            </w:r>
          </w:p>
        </w:tc>
      </w:tr>
      <w:tr w:rsidR="008A416E" w:rsidRPr="008A416E" w14:paraId="07A02981" w14:textId="77777777" w:rsidTr="008A416E">
        <w:trPr>
          <w:trHeight w:val="696"/>
        </w:trPr>
        <w:tc>
          <w:tcPr>
            <w:tcW w:w="3539" w:type="dxa"/>
            <w:vAlign w:val="center"/>
          </w:tcPr>
          <w:p w14:paraId="0F79F9BE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Bureaux, administrations, commerces, restaurants et cafés, cabinets médicaux, paramédicaux ou autres professions libérales</w:t>
            </w:r>
          </w:p>
        </w:tc>
        <w:tc>
          <w:tcPr>
            <w:tcW w:w="5528" w:type="dxa"/>
            <w:vAlign w:val="center"/>
          </w:tcPr>
          <w:p w14:paraId="104D7C24" w14:textId="2181B6B1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tranche de 50,00 mètres carrés de surface construite brute</w:t>
            </w:r>
          </w:p>
        </w:tc>
      </w:tr>
      <w:tr w:rsidR="008A416E" w:rsidRPr="008A416E" w14:paraId="3B938FC2" w14:textId="77777777" w:rsidTr="008A416E">
        <w:trPr>
          <w:trHeight w:val="279"/>
        </w:trPr>
        <w:tc>
          <w:tcPr>
            <w:tcW w:w="3539" w:type="dxa"/>
            <w:vMerge w:val="restart"/>
            <w:vAlign w:val="center"/>
          </w:tcPr>
          <w:p w14:paraId="2664E4B9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Crèche</w:t>
            </w:r>
          </w:p>
        </w:tc>
        <w:tc>
          <w:tcPr>
            <w:tcW w:w="5528" w:type="dxa"/>
            <w:vAlign w:val="center"/>
          </w:tcPr>
          <w:p w14:paraId="07A76327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3 emplacements par crèche réservés au personnel</w:t>
            </w:r>
          </w:p>
        </w:tc>
      </w:tr>
      <w:tr w:rsidR="008A416E" w:rsidRPr="008A416E" w14:paraId="446593FB" w14:textId="77777777" w:rsidTr="008A416E">
        <w:trPr>
          <w:trHeight w:val="694"/>
        </w:trPr>
        <w:tc>
          <w:tcPr>
            <w:tcW w:w="3539" w:type="dxa"/>
            <w:vMerge/>
            <w:vAlign w:val="center"/>
          </w:tcPr>
          <w:p w14:paraId="26FECEFC" w14:textId="77777777" w:rsidR="008A416E" w:rsidRPr="008A416E" w:rsidRDefault="008A416E" w:rsidP="008A416E">
            <w:pPr>
              <w:pStyle w:val="NormalTableau"/>
              <w:jc w:val="left"/>
            </w:pPr>
          </w:p>
        </w:tc>
        <w:tc>
          <w:tcPr>
            <w:tcW w:w="5528" w:type="dxa"/>
            <w:vAlign w:val="center"/>
          </w:tcPr>
          <w:p w14:paraId="1857544B" w14:textId="3C4BFCA2" w:rsidR="008A416E" w:rsidRPr="008A416E" w:rsidRDefault="008A416E" w:rsidP="008A416E">
            <w:pPr>
              <w:pStyle w:val="NormalTableau"/>
              <w:jc w:val="left"/>
            </w:pPr>
            <w:r w:rsidRPr="008A416E">
              <w:t>Emplacements supplémentaires pour courte durée:</w:t>
            </w:r>
          </w:p>
          <w:p w14:paraId="6949844E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tranche de 50 mètres carrés de surface nette d’exploitation</w:t>
            </w:r>
          </w:p>
        </w:tc>
      </w:tr>
      <w:tr w:rsidR="008A416E" w:rsidRPr="008A416E" w14:paraId="69E93CD0" w14:textId="77777777" w:rsidTr="008A416E">
        <w:trPr>
          <w:trHeight w:val="421"/>
        </w:trPr>
        <w:tc>
          <w:tcPr>
            <w:tcW w:w="3539" w:type="dxa"/>
            <w:vAlign w:val="center"/>
          </w:tcPr>
          <w:p w14:paraId="07EAD064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Etablissements artisanaux et commerciaux</w:t>
            </w:r>
          </w:p>
        </w:tc>
        <w:tc>
          <w:tcPr>
            <w:tcW w:w="5528" w:type="dxa"/>
            <w:vAlign w:val="center"/>
          </w:tcPr>
          <w:p w14:paraId="5192057C" w14:textId="6FDF2B0C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tranche de 50,00 mètres carrés de surface construite brute</w:t>
            </w:r>
          </w:p>
        </w:tc>
      </w:tr>
      <w:tr w:rsidR="008A416E" w:rsidRPr="008A416E" w14:paraId="6684FAB8" w14:textId="77777777" w:rsidTr="008A416E">
        <w:trPr>
          <w:trHeight w:val="404"/>
        </w:trPr>
        <w:tc>
          <w:tcPr>
            <w:tcW w:w="3539" w:type="dxa"/>
            <w:vAlign w:val="center"/>
          </w:tcPr>
          <w:p w14:paraId="33CEDE71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Constructions hôtelières et similaires</w:t>
            </w:r>
          </w:p>
        </w:tc>
        <w:tc>
          <w:tcPr>
            <w:tcW w:w="5528" w:type="dxa"/>
            <w:vAlign w:val="center"/>
          </w:tcPr>
          <w:p w14:paraId="22385797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tranche de 3 lits</w:t>
            </w:r>
          </w:p>
        </w:tc>
      </w:tr>
      <w:tr w:rsidR="008A416E" w:rsidRPr="008A416E" w14:paraId="661EEF14" w14:textId="77777777" w:rsidTr="008A416E">
        <w:trPr>
          <w:trHeight w:val="423"/>
        </w:trPr>
        <w:tc>
          <w:tcPr>
            <w:tcW w:w="3539" w:type="dxa"/>
            <w:vAlign w:val="center"/>
          </w:tcPr>
          <w:p w14:paraId="16934DE5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Etablissements de séjour pour personnes âgées</w:t>
            </w:r>
          </w:p>
        </w:tc>
        <w:tc>
          <w:tcPr>
            <w:tcW w:w="5528" w:type="dxa"/>
            <w:vAlign w:val="center"/>
          </w:tcPr>
          <w:p w14:paraId="2C2016FF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tranche de 6 lits</w:t>
            </w:r>
          </w:p>
        </w:tc>
      </w:tr>
      <w:tr w:rsidR="008A416E" w:rsidRPr="008A416E" w14:paraId="58BE8F06" w14:textId="77777777" w:rsidTr="008A416E">
        <w:trPr>
          <w:trHeight w:val="698"/>
        </w:trPr>
        <w:tc>
          <w:tcPr>
            <w:tcW w:w="3539" w:type="dxa"/>
            <w:vAlign w:val="center"/>
          </w:tcPr>
          <w:p w14:paraId="4BC6C62E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lastRenderedPageBreak/>
              <w:t>Salles de réunions et autres lieux de concertation de population (église, cinéma, centre culturel, centre sportif)</w:t>
            </w:r>
          </w:p>
        </w:tc>
        <w:tc>
          <w:tcPr>
            <w:tcW w:w="5528" w:type="dxa"/>
            <w:vAlign w:val="center"/>
          </w:tcPr>
          <w:p w14:paraId="23ADAC7A" w14:textId="77777777" w:rsidR="008A416E" w:rsidRPr="008A416E" w:rsidRDefault="008A416E" w:rsidP="008A416E">
            <w:pPr>
              <w:pStyle w:val="NormalTableau"/>
              <w:jc w:val="left"/>
            </w:pPr>
            <w:r w:rsidRPr="008A416E">
              <w:t>1 emplacement par tranche de 10 sièges</w:t>
            </w:r>
          </w:p>
        </w:tc>
      </w:tr>
    </w:tbl>
    <w:p w14:paraId="2AEE7D32" w14:textId="3E2BF5B6" w:rsidR="008A416E" w:rsidRDefault="008A416E" w:rsidP="008A416E">
      <w:pPr>
        <w:rPr>
          <w:lang w:val="fr-FR"/>
        </w:rPr>
      </w:pPr>
    </w:p>
    <w:p w14:paraId="530EB643" w14:textId="632D7777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Les emplacements de stationnement ne peuvent être pris en compte que pour une seule et</w:t>
      </w:r>
      <w:r>
        <w:rPr>
          <w:lang w:val="fr-FR"/>
        </w:rPr>
        <w:t xml:space="preserve"> </w:t>
      </w:r>
      <w:r w:rsidRPr="008A416E">
        <w:rPr>
          <w:lang w:val="fr-FR"/>
        </w:rPr>
        <w:t>même construction.</w:t>
      </w:r>
    </w:p>
    <w:p w14:paraId="1D51D038" w14:textId="689CDAB5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Les établissements commerciaux et artisanaux devront en outre prévoir sur leur terrain un</w:t>
      </w:r>
      <w:r>
        <w:rPr>
          <w:lang w:val="fr-FR"/>
        </w:rPr>
        <w:t xml:space="preserve"> </w:t>
      </w:r>
      <w:r w:rsidRPr="008A416E">
        <w:rPr>
          <w:lang w:val="fr-FR"/>
        </w:rPr>
        <w:t>nombre suffisant d’emplacements de stationnement pour leurs véhicules utilitaires, leurs</w:t>
      </w:r>
      <w:r>
        <w:rPr>
          <w:lang w:val="fr-FR"/>
        </w:rPr>
        <w:t xml:space="preserve"> </w:t>
      </w:r>
      <w:r w:rsidRPr="008A416E">
        <w:rPr>
          <w:lang w:val="fr-FR"/>
        </w:rPr>
        <w:t>visiteurs et clients.</w:t>
      </w:r>
    </w:p>
    <w:p w14:paraId="609869D0" w14:textId="60802030" w:rsidR="008A416E" w:rsidRPr="008A416E" w:rsidRDefault="008A416E" w:rsidP="008A416E">
      <w:pPr>
        <w:rPr>
          <w:lang w:val="fr-FR"/>
        </w:rPr>
      </w:pPr>
      <w:r w:rsidRPr="008A416E">
        <w:rPr>
          <w:lang w:val="fr-FR"/>
        </w:rPr>
        <w:t>Pour des besoins de sécurité le long des routes nationales sans bande de stationnement le long</w:t>
      </w:r>
      <w:r>
        <w:rPr>
          <w:lang w:val="fr-FR"/>
        </w:rPr>
        <w:t xml:space="preserve"> </w:t>
      </w:r>
      <w:r w:rsidRPr="008A416E">
        <w:rPr>
          <w:lang w:val="fr-FR"/>
        </w:rPr>
        <w:t>de la voirie, tout établissement, équipement ou activité doit multiplier le nombre minimal</w:t>
      </w:r>
      <w:r>
        <w:rPr>
          <w:lang w:val="fr-FR"/>
        </w:rPr>
        <w:t xml:space="preserve"> </w:t>
      </w:r>
      <w:r w:rsidRPr="008A416E">
        <w:rPr>
          <w:lang w:val="fr-FR"/>
        </w:rPr>
        <w:t>d’emplacements requis par 1,5.</w:t>
      </w:r>
    </w:p>
    <w:p w14:paraId="377E2933" w14:textId="2776F1C0" w:rsidR="008A416E" w:rsidRPr="006605E2" w:rsidRDefault="008A416E" w:rsidP="008A416E">
      <w:pPr>
        <w:rPr>
          <w:lang w:val="fr-FR"/>
        </w:rPr>
      </w:pPr>
      <w:r w:rsidRPr="008A416E">
        <w:rPr>
          <w:lang w:val="fr-FR"/>
        </w:rPr>
        <w:t>Pour le calcul du nombre d’emplacements de stationnements, les chiffres sont arrondis à l’entier</w:t>
      </w:r>
      <w:r>
        <w:rPr>
          <w:lang w:val="fr-FR"/>
        </w:rPr>
        <w:t xml:space="preserve"> </w:t>
      </w:r>
      <w:r w:rsidRPr="008A416E">
        <w:rPr>
          <w:lang w:val="fr-FR"/>
        </w:rPr>
        <w:t>supérieur.</w:t>
      </w:r>
    </w:p>
    <w:sectPr w:rsidR="008A416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16E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59"/>
    <w:rsid w:val="008A416E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2021-09-15T12:52:00Z</dcterms:modified>
</cp:coreProperties>
</file>