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B14C1" w14:textId="6FBD5FCB" w:rsidR="00B25FBB" w:rsidRPr="00B25FBB" w:rsidRDefault="00B25FBB" w:rsidP="00B25FBB">
      <w:pPr>
        <w:pStyle w:val="Heading1"/>
        <w:rPr>
          <w:lang w:val="fr-FR"/>
        </w:rPr>
      </w:pPr>
      <w:r>
        <w:rPr>
          <w:lang w:val="fr-FR"/>
        </w:rPr>
        <w:t xml:space="preserve">Art. 5 </w:t>
      </w:r>
      <w:r w:rsidRPr="00B25FBB">
        <w:rPr>
          <w:lang w:val="fr-FR"/>
        </w:rPr>
        <w:t xml:space="preserve">Quartier de bâtiments et d’équipements publics </w:t>
      </w:r>
      <w:r>
        <w:rPr>
          <w:lang w:val="fr-FR"/>
        </w:rPr>
        <w:t>–</w:t>
      </w:r>
      <w:r w:rsidRPr="00B25FBB">
        <w:rPr>
          <w:lang w:val="fr-FR"/>
        </w:rPr>
        <w:t xml:space="preserve"> bâtiment</w:t>
      </w:r>
      <w:r>
        <w:rPr>
          <w:lang w:val="fr-FR"/>
        </w:rPr>
        <w:t xml:space="preserve"> « BEP-B »</w:t>
      </w:r>
    </w:p>
    <w:p w14:paraId="38FDEE07" w14:textId="1FFABB18" w:rsidR="006605E2" w:rsidRDefault="00B25FBB" w:rsidP="00B25FBB">
      <w:pPr>
        <w:rPr>
          <w:lang w:val="fr-FR"/>
        </w:rPr>
      </w:pPr>
      <w:r w:rsidRPr="00B25FBB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r w:rsidRPr="00B25FBB">
        <w:rPr>
          <w:lang w:val="fr-FR"/>
        </w:rPr>
        <w:t>BEP-B</w:t>
      </w:r>
      <w:r>
        <w:rPr>
          <w:lang w:val="fr-FR"/>
        </w:rPr>
        <w:t> » à titre indicatif</w:t>
      </w:r>
      <w:r w:rsidRPr="00B25FBB">
        <w:rPr>
          <w:lang w:val="fr-FR"/>
        </w:rPr>
        <w:t>: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2410"/>
        <w:gridCol w:w="4677"/>
      </w:tblGrid>
      <w:tr w:rsidR="00B25FBB" w:rsidRPr="00B25FBB" w14:paraId="5F843407" w14:textId="77777777" w:rsidTr="00B25FBB">
        <w:trPr>
          <w:trHeight w:val="499"/>
        </w:trPr>
        <w:tc>
          <w:tcPr>
            <w:tcW w:w="43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E80493" w14:textId="77777777" w:rsidR="00B25FBB" w:rsidRPr="00B25FBB" w:rsidRDefault="00B25FBB" w:rsidP="00B25FBB">
            <w:pPr>
              <w:pStyle w:val="NormalTableau"/>
              <w:jc w:val="left"/>
              <w:rPr>
                <w:b/>
                <w:u w:val="single"/>
              </w:rPr>
            </w:pPr>
            <w:r w:rsidRPr="00B25FBB">
              <w:rPr>
                <w:b/>
                <w:u w:val="single"/>
              </w:rPr>
              <w:t>Type de prescriptions</w:t>
            </w:r>
          </w:p>
        </w:tc>
        <w:tc>
          <w:tcPr>
            <w:tcW w:w="46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F043578" w14:textId="77777777" w:rsidR="00B25FBB" w:rsidRPr="00B25FBB" w:rsidRDefault="00B25FBB" w:rsidP="00B25FBB">
            <w:pPr>
              <w:pStyle w:val="NormalTableau"/>
              <w:jc w:val="center"/>
              <w:rPr>
                <w:b/>
                <w:u w:val="single"/>
              </w:rPr>
            </w:pPr>
            <w:r w:rsidRPr="00B25FBB">
              <w:rPr>
                <w:b/>
                <w:u w:val="single"/>
              </w:rPr>
              <w:t>Prescriptions</w:t>
            </w:r>
          </w:p>
        </w:tc>
      </w:tr>
      <w:tr w:rsidR="00B25FBB" w:rsidRPr="00B25FBB" w14:paraId="0A11F7CC" w14:textId="77777777" w:rsidTr="00B25FBB">
        <w:trPr>
          <w:trHeight w:val="499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DF0F" w14:textId="77777777" w:rsidR="00B25FBB" w:rsidRPr="00B25FBB" w:rsidRDefault="00B25FBB" w:rsidP="00B25FBB">
            <w:pPr>
              <w:pStyle w:val="NormalTableau"/>
              <w:jc w:val="left"/>
            </w:pPr>
            <w:r w:rsidRPr="00B25FBB">
              <w:t>Type des constructions</w:t>
            </w:r>
          </w:p>
        </w:tc>
        <w:tc>
          <w:tcPr>
            <w:tcW w:w="4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3F94" w14:textId="77777777" w:rsidR="00B25FBB" w:rsidRPr="00B25FBB" w:rsidRDefault="00B25FBB" w:rsidP="00B25FBB">
            <w:pPr>
              <w:pStyle w:val="NormalTableau"/>
            </w:pPr>
            <w:r w:rsidRPr="00B25FBB">
              <w:t>en fonction des besoins</w:t>
            </w:r>
          </w:p>
        </w:tc>
      </w:tr>
      <w:tr w:rsidR="00B25FBB" w:rsidRPr="00B25FBB" w14:paraId="6E080C63" w14:textId="77777777" w:rsidTr="00B25FBB">
        <w:trPr>
          <w:trHeight w:val="702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F737" w14:textId="77777777" w:rsidR="00B25FBB" w:rsidRPr="00B25FBB" w:rsidRDefault="00B25FBB" w:rsidP="00B25FBB">
            <w:pPr>
              <w:pStyle w:val="NormalTableau"/>
              <w:jc w:val="left"/>
            </w:pPr>
            <w:r w:rsidRPr="00B25FBB">
              <w:t>Reculs des constructions</w:t>
            </w:r>
          </w:p>
        </w:tc>
        <w:tc>
          <w:tcPr>
            <w:tcW w:w="4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7FC54" w14:textId="77777777" w:rsidR="00B25FBB" w:rsidRPr="00B25FBB" w:rsidRDefault="00B25FBB" w:rsidP="00B25FBB">
            <w:pPr>
              <w:pStyle w:val="NormalTableau"/>
            </w:pPr>
            <w:r w:rsidRPr="00B25FBB">
              <w:t>min. 2,50 m</w:t>
            </w:r>
          </w:p>
        </w:tc>
      </w:tr>
      <w:tr w:rsidR="00B25FBB" w:rsidRPr="00B25FBB" w14:paraId="3E484CC5" w14:textId="77777777" w:rsidTr="00B25FBB">
        <w:trPr>
          <w:trHeight w:val="499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250E" w14:textId="77777777" w:rsidR="00B25FBB" w:rsidRPr="00B25FBB" w:rsidRDefault="00B25FBB" w:rsidP="00B25FBB">
            <w:pPr>
              <w:pStyle w:val="NormalTableau"/>
              <w:jc w:val="left"/>
            </w:pPr>
            <w:r w:rsidRPr="00B25FBB">
              <w:t>Niveaux</w:t>
            </w:r>
          </w:p>
        </w:tc>
        <w:tc>
          <w:tcPr>
            <w:tcW w:w="4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A63EC" w14:textId="77777777" w:rsidR="00B25FBB" w:rsidRPr="00B25FBB" w:rsidRDefault="00B25FBB" w:rsidP="00B25FBB">
            <w:pPr>
              <w:pStyle w:val="NormalTableau"/>
            </w:pPr>
            <w:r w:rsidRPr="00B25FBB">
              <w:t>max. 3 + 2SS</w:t>
            </w:r>
          </w:p>
        </w:tc>
      </w:tr>
      <w:tr w:rsidR="00B25FBB" w:rsidRPr="00B25FBB" w14:paraId="5712836A" w14:textId="77777777" w:rsidTr="00B25FBB">
        <w:trPr>
          <w:trHeight w:val="499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FAF4" w14:textId="77777777" w:rsidR="00B25FBB" w:rsidRPr="00B25FBB" w:rsidRDefault="00B25FBB" w:rsidP="00B25FBB">
            <w:pPr>
              <w:pStyle w:val="NormalTableau"/>
              <w:jc w:val="left"/>
            </w:pPr>
            <w:r w:rsidRPr="00B25FBB">
              <w:t>Hauteur construction principale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9573B" w14:textId="77777777" w:rsidR="00B25FBB" w:rsidRPr="00B25FBB" w:rsidRDefault="00B25FBB" w:rsidP="00B25FBB">
            <w:pPr>
              <w:pStyle w:val="NormalTableau"/>
              <w:jc w:val="left"/>
            </w:pPr>
            <w:r w:rsidRPr="00B25FBB">
              <w:t>Corniche</w:t>
            </w:r>
          </w:p>
        </w:tc>
        <w:tc>
          <w:tcPr>
            <w:tcW w:w="4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43E2F" w14:textId="77777777" w:rsidR="00B25FBB" w:rsidRPr="00B25FBB" w:rsidRDefault="00B25FBB" w:rsidP="00B25FBB">
            <w:pPr>
              <w:pStyle w:val="NormalTableau"/>
            </w:pPr>
            <w:r w:rsidRPr="00B25FBB">
              <w:t>max. 11,25 m</w:t>
            </w:r>
          </w:p>
        </w:tc>
      </w:tr>
      <w:tr w:rsidR="00B25FBB" w:rsidRPr="00B25FBB" w14:paraId="5914D779" w14:textId="77777777" w:rsidTr="00B25FBB">
        <w:trPr>
          <w:trHeight w:val="499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5A63" w14:textId="77777777" w:rsidR="00B25FBB" w:rsidRPr="00B25FBB" w:rsidRDefault="00B25FBB" w:rsidP="00B25FBB">
            <w:pPr>
              <w:pStyle w:val="NormalTableau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082D8" w14:textId="77777777" w:rsidR="00B25FBB" w:rsidRPr="00B25FBB" w:rsidRDefault="00B25FBB" w:rsidP="00B25FBB">
            <w:pPr>
              <w:pStyle w:val="NormalTableau"/>
              <w:jc w:val="left"/>
            </w:pPr>
            <w:r w:rsidRPr="00B25FBB">
              <w:t xml:space="preserve">Faîtage </w:t>
            </w:r>
          </w:p>
        </w:tc>
        <w:tc>
          <w:tcPr>
            <w:tcW w:w="4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8947A" w14:textId="77777777" w:rsidR="00B25FBB" w:rsidRPr="00B25FBB" w:rsidRDefault="00B25FBB" w:rsidP="00B25FBB">
            <w:pPr>
              <w:pStyle w:val="NormalTableau"/>
            </w:pPr>
            <w:r w:rsidRPr="00B25FBB">
              <w:t>max. 15,50 m</w:t>
            </w:r>
          </w:p>
        </w:tc>
      </w:tr>
      <w:tr w:rsidR="00B25FBB" w:rsidRPr="00B25FBB" w14:paraId="00C35AAA" w14:textId="77777777" w:rsidTr="00B25FBB">
        <w:trPr>
          <w:trHeight w:val="499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9B1DEB" w14:textId="3CF88E1E" w:rsidR="00B25FBB" w:rsidRPr="00B25FBB" w:rsidRDefault="00B25FBB" w:rsidP="00B25FBB">
            <w:pPr>
              <w:pStyle w:val="NormalTableau"/>
              <w:jc w:val="left"/>
            </w:pPr>
            <w:r>
              <w:t>Hauteur des constructions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7757F" w14:textId="77777777" w:rsidR="00B25FBB" w:rsidRPr="00B25FBB" w:rsidRDefault="00B25FBB" w:rsidP="00B25FBB">
            <w:pPr>
              <w:pStyle w:val="NormalTableau"/>
            </w:pPr>
            <w:r w:rsidRPr="00B25FBB">
              <w:t>max. 15,50 m</w:t>
            </w:r>
          </w:p>
        </w:tc>
      </w:tr>
      <w:tr w:rsidR="00B25FBB" w:rsidRPr="00B25FBB" w14:paraId="4AE51D0E" w14:textId="77777777" w:rsidTr="00B25FBB">
        <w:trPr>
          <w:trHeight w:val="465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9D0D8" w14:textId="1DF61745" w:rsidR="00B25FBB" w:rsidRPr="00B25FBB" w:rsidRDefault="00B25FBB" w:rsidP="00B25FBB">
            <w:pPr>
              <w:pStyle w:val="NormalTableau"/>
              <w:jc w:val="left"/>
            </w:pPr>
            <w:r>
              <w:t>Unités de logement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4DEB4E" w14:textId="77777777" w:rsidR="00B25FBB" w:rsidRPr="00B25FBB" w:rsidRDefault="00B25FBB" w:rsidP="00B25FBB">
            <w:pPr>
              <w:pStyle w:val="NormalTableau"/>
              <w:jc w:val="left"/>
            </w:pPr>
            <w:r w:rsidRPr="00B25FBB">
              <w:t>Bâtiment public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8BF70" w14:textId="77777777" w:rsidR="00B25FBB" w:rsidRPr="00B25FBB" w:rsidRDefault="00B25FBB" w:rsidP="00B25FBB">
            <w:pPr>
              <w:pStyle w:val="NormalTableau"/>
            </w:pPr>
            <w:r w:rsidRPr="00B25FBB">
              <w:t>max. 1 logement de service</w:t>
            </w:r>
          </w:p>
        </w:tc>
      </w:tr>
      <w:tr w:rsidR="00B25FBB" w:rsidRPr="00B25FBB" w14:paraId="282F4CC7" w14:textId="77777777" w:rsidTr="00B25FBB">
        <w:trPr>
          <w:trHeight w:val="547"/>
        </w:trPr>
        <w:tc>
          <w:tcPr>
            <w:tcW w:w="19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298751B" w14:textId="77777777" w:rsidR="00B25FBB" w:rsidRPr="00B25FBB" w:rsidRDefault="00B25FBB" w:rsidP="00B25FBB">
            <w:pPr>
              <w:pStyle w:val="NormalTableau"/>
              <w:jc w:val="lef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D1708A" w14:textId="77777777" w:rsidR="00B25FBB" w:rsidRPr="00B25FBB" w:rsidRDefault="00B25FBB" w:rsidP="00B25FBB">
            <w:pPr>
              <w:pStyle w:val="NormalTableau"/>
              <w:jc w:val="left"/>
            </w:pPr>
            <w:r w:rsidRPr="00B25FBB">
              <w:t>Bâtiment dédié au logement</w:t>
            </w:r>
          </w:p>
        </w:tc>
        <w:tc>
          <w:tcPr>
            <w:tcW w:w="4677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D72EE8" w14:textId="77777777" w:rsidR="00B25FBB" w:rsidRPr="00B25FBB" w:rsidRDefault="00B25FBB" w:rsidP="00B25FBB">
            <w:pPr>
              <w:pStyle w:val="NormalTableau"/>
            </w:pPr>
            <w:r w:rsidRPr="00B25FBB">
              <w:t>max. 20 unités de logement</w:t>
            </w:r>
          </w:p>
        </w:tc>
      </w:tr>
      <w:tr w:rsidR="00B25FBB" w:rsidRPr="00B25FBB" w14:paraId="1F286456" w14:textId="77777777" w:rsidTr="00B25FBB">
        <w:trPr>
          <w:trHeight w:val="499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479C" w14:textId="77777777" w:rsidR="00B25FBB" w:rsidRPr="00B25FBB" w:rsidRDefault="00B25FBB" w:rsidP="00B25FBB">
            <w:pPr>
              <w:pStyle w:val="NormalTableau"/>
              <w:jc w:val="left"/>
            </w:pPr>
            <w:r w:rsidRPr="00B25FBB">
              <w:t xml:space="preserve">Emplacements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4F2ED" w14:textId="77777777" w:rsidR="00B25FBB" w:rsidRPr="00B25FBB" w:rsidRDefault="00B25FBB" w:rsidP="00B25FBB">
            <w:pPr>
              <w:pStyle w:val="NormalTableau"/>
            </w:pPr>
            <w:r w:rsidRPr="00B25FBB">
              <w:t>en fonction des besoins</w:t>
            </w:r>
          </w:p>
        </w:tc>
      </w:tr>
    </w:tbl>
    <w:p w14:paraId="70E83F3D" w14:textId="4FBCF7C1" w:rsidR="00B25FBB" w:rsidRDefault="00B25FBB" w:rsidP="00B25FBB">
      <w:pPr>
        <w:rPr>
          <w:lang w:val="fr-FR"/>
        </w:rPr>
      </w:pPr>
    </w:p>
    <w:p w14:paraId="479910E2" w14:textId="270F2431" w:rsidR="00B25FBB" w:rsidRPr="00B25FBB" w:rsidRDefault="00B25FBB" w:rsidP="00B25FBB">
      <w:pPr>
        <w:pStyle w:val="Heading2"/>
        <w:rPr>
          <w:lang w:val="fr-FR"/>
        </w:rPr>
      </w:pPr>
      <w:r>
        <w:rPr>
          <w:lang w:val="fr-FR"/>
        </w:rPr>
        <w:t xml:space="preserve">Art. 5.1 </w:t>
      </w:r>
      <w:r w:rsidRPr="00B25FBB">
        <w:rPr>
          <w:lang w:val="fr-FR"/>
        </w:rPr>
        <w:t>Type et implantation des constructions</w:t>
      </w:r>
    </w:p>
    <w:p w14:paraId="1250FA3A" w14:textId="200B51DF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Le type et l’implantation des constructions est à définir au cas par cas par les autorités communales</w:t>
      </w:r>
      <w:r>
        <w:rPr>
          <w:lang w:val="fr-FR"/>
        </w:rPr>
        <w:t xml:space="preserve"> </w:t>
      </w:r>
      <w:r w:rsidRPr="00B25FBB">
        <w:rPr>
          <w:lang w:val="fr-FR"/>
        </w:rPr>
        <w:t>en fonction des besoins.</w:t>
      </w:r>
    </w:p>
    <w:p w14:paraId="4ED42B4E" w14:textId="48F24A54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Tout bâtiment dédié au logement peut être destiné au logement locatif social, au logement pour</w:t>
      </w:r>
      <w:r>
        <w:rPr>
          <w:lang w:val="fr-FR"/>
        </w:rPr>
        <w:t xml:space="preserve"> </w:t>
      </w:r>
      <w:r w:rsidRPr="00B25FBB">
        <w:rPr>
          <w:lang w:val="fr-FR"/>
        </w:rPr>
        <w:t>l’accueil de demandeurs de protection nationale et au logement pour étudiants.</w:t>
      </w:r>
    </w:p>
    <w:p w14:paraId="3C8E4174" w14:textId="6402CC81" w:rsidR="00B25FBB" w:rsidRPr="00B25FBB" w:rsidRDefault="00B25FBB" w:rsidP="00B25FBB">
      <w:pPr>
        <w:pStyle w:val="Heading2"/>
        <w:rPr>
          <w:lang w:val="fr-FR"/>
        </w:rPr>
      </w:pPr>
      <w:r>
        <w:rPr>
          <w:lang w:val="fr-FR"/>
        </w:rPr>
        <w:t xml:space="preserve">Art. 5.2 </w:t>
      </w:r>
      <w:r w:rsidRPr="00B25FBB">
        <w:rPr>
          <w:lang w:val="fr-FR"/>
        </w:rPr>
        <w:t>Reculs des constructions par rapport aux limites du terrain à bâtir net</w:t>
      </w:r>
    </w:p>
    <w:p w14:paraId="3871CB1E" w14:textId="77777777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Les reculs avant et arrières sont de minimum 2,50 mètres.</w:t>
      </w:r>
    </w:p>
    <w:p w14:paraId="008A1EC9" w14:textId="77777777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Les reculs latéraux respectent les reculs de la zone adjacente.</w:t>
      </w:r>
    </w:p>
    <w:p w14:paraId="1F79818E" w14:textId="106739F6" w:rsidR="00B25FBB" w:rsidRDefault="00B25FBB" w:rsidP="00B25FBB">
      <w:pPr>
        <w:rPr>
          <w:lang w:val="fr-FR"/>
        </w:rPr>
      </w:pPr>
      <w:r w:rsidRPr="00B25FBB">
        <w:rPr>
          <w:lang w:val="fr-FR"/>
        </w:rPr>
        <w:t>Le recul latéral peut être nul si la construction est accolée à la façade en limite de propriété d’une</w:t>
      </w:r>
      <w:r>
        <w:rPr>
          <w:lang w:val="fr-FR"/>
        </w:rPr>
        <w:t xml:space="preserve"> </w:t>
      </w:r>
      <w:r w:rsidRPr="00B25FBB">
        <w:rPr>
          <w:lang w:val="fr-FR"/>
        </w:rPr>
        <w:t>construction voisine existante, si ladite façade ne présente aucun percement. Si la construction voisine</w:t>
      </w:r>
      <w:r>
        <w:rPr>
          <w:lang w:val="fr-FR"/>
        </w:rPr>
        <w:t xml:space="preserve"> </w:t>
      </w:r>
      <w:r w:rsidRPr="00B25FBB">
        <w:rPr>
          <w:lang w:val="fr-FR"/>
        </w:rPr>
        <w:t xml:space="preserve">existante n’est pas en PAP QE </w:t>
      </w:r>
      <w:r>
        <w:rPr>
          <w:lang w:val="fr-FR"/>
        </w:rPr>
        <w:t>« </w:t>
      </w:r>
      <w:r w:rsidRPr="00B25FBB">
        <w:rPr>
          <w:lang w:val="fr-FR"/>
        </w:rPr>
        <w:t>BEP-B</w:t>
      </w:r>
      <w:r>
        <w:rPr>
          <w:lang w:val="fr-FR"/>
        </w:rPr>
        <w:t> »</w:t>
      </w:r>
      <w:r w:rsidRPr="00B25FBB">
        <w:rPr>
          <w:lang w:val="fr-FR"/>
        </w:rPr>
        <w:t>, une construction accolée est uniquement possible si la</w:t>
      </w:r>
      <w:r>
        <w:rPr>
          <w:lang w:val="fr-FR"/>
        </w:rPr>
        <w:t xml:space="preserve"> </w:t>
      </w:r>
      <w:r w:rsidRPr="00B25FBB">
        <w:rPr>
          <w:lang w:val="fr-FR"/>
        </w:rPr>
        <w:t>construction respecte les prescriptions dimensionnelles du quartier dans lequel se trouve la</w:t>
      </w:r>
      <w:r>
        <w:rPr>
          <w:lang w:val="fr-FR"/>
        </w:rPr>
        <w:t xml:space="preserve"> </w:t>
      </w:r>
      <w:r w:rsidRPr="00B25FBB">
        <w:rPr>
          <w:lang w:val="fr-FR"/>
        </w:rPr>
        <w:t>construction voisine.</w:t>
      </w:r>
    </w:p>
    <w:p w14:paraId="6B6CAF91" w14:textId="278427A2" w:rsidR="00B25FBB" w:rsidRPr="00B25FBB" w:rsidRDefault="00B25FBB" w:rsidP="00B25FBB">
      <w:pPr>
        <w:pStyle w:val="Heading2"/>
        <w:rPr>
          <w:lang w:val="fr-FR"/>
        </w:rPr>
      </w:pPr>
      <w:r>
        <w:rPr>
          <w:lang w:val="fr-FR"/>
        </w:rPr>
        <w:t xml:space="preserve">Art. 5.3 </w:t>
      </w:r>
      <w:r w:rsidRPr="00B25FBB">
        <w:rPr>
          <w:lang w:val="fr-FR"/>
        </w:rPr>
        <w:t>Nombre de niveaux hors-sol et sous-sol</w:t>
      </w:r>
    </w:p>
    <w:p w14:paraId="44D3C3C7" w14:textId="51B1B519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Le nombre admissible de niveaux pleins hors-sol pour une construction principale est de 3 niveaux,</w:t>
      </w:r>
      <w:r>
        <w:rPr>
          <w:lang w:val="fr-FR"/>
        </w:rPr>
        <w:t xml:space="preserve"> </w:t>
      </w:r>
      <w:r w:rsidRPr="00B25FBB">
        <w:rPr>
          <w:lang w:val="fr-FR"/>
        </w:rPr>
        <w:t>soit 1 au rez-de-chaussée et 2 étages.</w:t>
      </w:r>
    </w:p>
    <w:p w14:paraId="2EBCD0DC" w14:textId="49F238C4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lastRenderedPageBreak/>
        <w:t>1 niveau supplémentaire peut être réalisé dans les combles d’une toiture à pentes ou en retrait dans</w:t>
      </w:r>
      <w:r>
        <w:rPr>
          <w:lang w:val="fr-FR"/>
        </w:rPr>
        <w:t xml:space="preserve"> </w:t>
      </w:r>
      <w:r w:rsidRPr="00B25FBB">
        <w:rPr>
          <w:lang w:val="fr-FR"/>
        </w:rPr>
        <w:t>le cas d’une toiture plate.</w:t>
      </w:r>
    </w:p>
    <w:p w14:paraId="1CA550E8" w14:textId="77777777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Il peut être ajouté au maximum 2 sous-sols au nombre de niveaux pleins admissibles.</w:t>
      </w:r>
    </w:p>
    <w:p w14:paraId="0D1D849D" w14:textId="33BEFB7F" w:rsidR="00B25FBB" w:rsidRPr="00B25FBB" w:rsidRDefault="00B25FBB" w:rsidP="00B25FBB">
      <w:pPr>
        <w:pStyle w:val="Heading2"/>
        <w:rPr>
          <w:lang w:val="fr-FR"/>
        </w:rPr>
      </w:pPr>
      <w:r>
        <w:rPr>
          <w:lang w:val="fr-FR"/>
        </w:rPr>
        <w:t xml:space="preserve">Art. 5.4 </w:t>
      </w:r>
      <w:r w:rsidRPr="00B25FBB">
        <w:rPr>
          <w:lang w:val="fr-FR"/>
        </w:rPr>
        <w:t>Hauteur des constructions principales</w:t>
      </w:r>
    </w:p>
    <w:p w14:paraId="40753495" w14:textId="14EB09F4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La hauteur admissible des c</w:t>
      </w:r>
      <w:r>
        <w:rPr>
          <w:lang w:val="fr-FR"/>
        </w:rPr>
        <w:t>onstructions principales est de</w:t>
      </w:r>
      <w:r w:rsidRPr="00B25FBB">
        <w:rPr>
          <w:lang w:val="fr-FR"/>
        </w:rPr>
        <w:t>:</w:t>
      </w:r>
    </w:p>
    <w:p w14:paraId="61808817" w14:textId="77777777" w:rsidR="00B25FBB" w:rsidRDefault="00B25FBB" w:rsidP="00B25FB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B25FBB">
        <w:rPr>
          <w:lang w:val="fr-FR"/>
        </w:rPr>
        <w:t>maximum</w:t>
      </w:r>
      <w:proofErr w:type="gramEnd"/>
      <w:r w:rsidRPr="00B25FBB">
        <w:rPr>
          <w:lang w:val="fr-FR"/>
        </w:rPr>
        <w:t xml:space="preserve"> 11,25 mètres à la corniche</w:t>
      </w:r>
    </w:p>
    <w:p w14:paraId="2BF9A924" w14:textId="25FC777C" w:rsidR="00B25FBB" w:rsidRPr="00B25FBB" w:rsidRDefault="00B25FBB" w:rsidP="00B25FB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B25FBB">
        <w:rPr>
          <w:lang w:val="fr-FR"/>
        </w:rPr>
        <w:t>maximum</w:t>
      </w:r>
      <w:proofErr w:type="gramEnd"/>
      <w:r w:rsidRPr="00B25FBB">
        <w:rPr>
          <w:lang w:val="fr-FR"/>
        </w:rPr>
        <w:t xml:space="preserve"> 15,50 mètres au faîtage.</w:t>
      </w:r>
    </w:p>
    <w:p w14:paraId="587FE147" w14:textId="24EEA0CD" w:rsidR="00B25FBB" w:rsidRDefault="00B25FBB" w:rsidP="00B25FBB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BE0DB94" wp14:editId="0C549BEE">
            <wp:extent cx="4724400" cy="1924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B99CF" w14:textId="6E05421C" w:rsidR="00B25FBB" w:rsidRDefault="00B25FBB" w:rsidP="00B25FBB">
      <w:pPr>
        <w:rPr>
          <w:lang w:val="fr-FR"/>
        </w:rPr>
      </w:pPr>
    </w:p>
    <w:p w14:paraId="68E5E13F" w14:textId="4497D61B" w:rsidR="00B25FBB" w:rsidRPr="00B25FBB" w:rsidRDefault="00B25FBB" w:rsidP="00B25FBB">
      <w:pPr>
        <w:pStyle w:val="Heading2"/>
        <w:rPr>
          <w:lang w:val="fr-FR"/>
        </w:rPr>
      </w:pPr>
      <w:r>
        <w:rPr>
          <w:lang w:val="fr-FR"/>
        </w:rPr>
        <w:t xml:space="preserve">Art. 5.5 </w:t>
      </w:r>
      <w:r w:rsidRPr="00B25FBB">
        <w:rPr>
          <w:lang w:val="fr-FR"/>
        </w:rPr>
        <w:t>Nombre d’unités de logement</w:t>
      </w:r>
    </w:p>
    <w:p w14:paraId="55FF0FAB" w14:textId="77777777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Le nombre maximum d’unités de logement par bâtiment public est 1 logement de service.</w:t>
      </w:r>
    </w:p>
    <w:p w14:paraId="3508EE89" w14:textId="77777777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Le nombre maximum d’unités de logement par bâtiment dédié au logement est de 20.</w:t>
      </w:r>
    </w:p>
    <w:p w14:paraId="32B3C853" w14:textId="403FEE35" w:rsidR="00B25FBB" w:rsidRPr="00B25FBB" w:rsidRDefault="00B25FBB" w:rsidP="00B25FBB">
      <w:pPr>
        <w:pStyle w:val="Heading2"/>
        <w:rPr>
          <w:lang w:val="fr-FR"/>
        </w:rPr>
      </w:pPr>
      <w:r>
        <w:rPr>
          <w:lang w:val="fr-FR"/>
        </w:rPr>
        <w:t xml:space="preserve">Art. 5.6 </w:t>
      </w:r>
      <w:r w:rsidRPr="00B25FBB">
        <w:rPr>
          <w:lang w:val="fr-FR"/>
        </w:rPr>
        <w:t>Emplacements de stationnement</w:t>
      </w:r>
    </w:p>
    <w:p w14:paraId="3618E7BA" w14:textId="77777777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Le nombre d’emplacements de stationnement requis est repris dans la partie écrite du PAG.</w:t>
      </w:r>
    </w:p>
    <w:p w14:paraId="747EA0A9" w14:textId="77777777" w:rsidR="00B25FBB" w:rsidRPr="00B25FBB" w:rsidRDefault="00B25FBB" w:rsidP="00B25FBB">
      <w:pPr>
        <w:rPr>
          <w:lang w:val="fr-FR"/>
        </w:rPr>
      </w:pPr>
      <w:r w:rsidRPr="00B25FBB">
        <w:rPr>
          <w:lang w:val="fr-FR"/>
        </w:rPr>
        <w:t>Il est défini en fonction des besoins spécifiques des bâtiments et équipements autorisés.</w:t>
      </w:r>
    </w:p>
    <w:p w14:paraId="7BC1F4A1" w14:textId="1EBDD8D3" w:rsidR="00B25FBB" w:rsidRPr="006605E2" w:rsidRDefault="00B25FBB" w:rsidP="00B25FBB">
      <w:pPr>
        <w:rPr>
          <w:lang w:val="fr-FR"/>
        </w:rPr>
      </w:pPr>
      <w:r w:rsidRPr="00B25FBB">
        <w:rPr>
          <w:lang w:val="fr-FR"/>
        </w:rPr>
        <w:t>Dans le cas d’un regroupement de plusieurs équipements sur un même site, l’estimation des besoins</w:t>
      </w:r>
      <w:r>
        <w:rPr>
          <w:lang w:val="fr-FR"/>
        </w:rPr>
        <w:t xml:space="preserve"> </w:t>
      </w:r>
      <w:r w:rsidRPr="00B25FBB">
        <w:rPr>
          <w:lang w:val="fr-FR"/>
        </w:rPr>
        <w:t>en emplacements de stationnement tiendra compte des heures de fréquentation de chaque</w:t>
      </w:r>
      <w:r>
        <w:rPr>
          <w:lang w:val="fr-FR"/>
        </w:rPr>
        <w:t xml:space="preserve"> </w:t>
      </w:r>
      <w:r w:rsidRPr="00B25FBB">
        <w:rPr>
          <w:lang w:val="fr-FR"/>
        </w:rPr>
        <w:t>équipement afin de mutualiser les emplacements.</w:t>
      </w:r>
      <w:bookmarkStart w:id="0" w:name="_GoBack"/>
      <w:bookmarkEnd w:id="0"/>
    </w:p>
    <w:sectPr w:rsidR="00B25FB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681E9B"/>
    <w:multiLevelType w:val="hybridMultilevel"/>
    <w:tmpl w:val="9BD025F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25FBB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2021-09-17T12:01:00Z</dcterms:modified>
</cp:coreProperties>
</file>