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070D4535" w:rsidR="006605E2" w:rsidRPr="00B5669C" w:rsidRDefault="004D1021" w:rsidP="00B5669C">
      <w:pPr>
        <w:pStyle w:val="Heading1"/>
        <w:rPr>
          <w:lang w:val="fr-LU"/>
        </w:rPr>
      </w:pPr>
      <w:r w:rsidRPr="00B5669C">
        <w:rPr>
          <w:lang w:val="fr-LU"/>
        </w:rPr>
        <w:t>Art. 1 Quartier d’habitation « HAB-1 »</w:t>
      </w:r>
    </w:p>
    <w:p w14:paraId="2324B2A9" w14:textId="3BBF1401" w:rsidR="004D1021" w:rsidRDefault="00B5669C" w:rsidP="004D1021">
      <w:pPr>
        <w:rPr>
          <w:lang w:val="fr-LU"/>
        </w:rPr>
      </w:pPr>
      <w:r w:rsidRPr="00B5669C">
        <w:rPr>
          <w:lang w:val="fr-LU"/>
        </w:rPr>
        <w:t xml:space="preserve">Résumé des prescriptions du quartier existant </w:t>
      </w:r>
      <w:r>
        <w:rPr>
          <w:lang w:val="fr-LU"/>
        </w:rPr>
        <w:t>« </w:t>
      </w:r>
      <w:r w:rsidRPr="00B5669C">
        <w:rPr>
          <w:lang w:val="fr-LU"/>
        </w:rPr>
        <w:t>HAB-1</w:t>
      </w:r>
      <w:r>
        <w:rPr>
          <w:lang w:val="fr-LU"/>
        </w:rPr>
        <w:t> » à titre indicatif</w:t>
      </w:r>
      <w:r w:rsidRPr="00B5669C">
        <w:rPr>
          <w:lang w:val="fr-LU"/>
        </w:rPr>
        <w:t>: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2078"/>
        <w:gridCol w:w="5244"/>
      </w:tblGrid>
      <w:tr w:rsidR="00B5669C" w:rsidRPr="00B5669C" w14:paraId="375FC908" w14:textId="77777777" w:rsidTr="00B5669C">
        <w:trPr>
          <w:trHeight w:val="585"/>
        </w:trPr>
        <w:tc>
          <w:tcPr>
            <w:tcW w:w="381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99BF989" w14:textId="77777777" w:rsidR="00B5669C" w:rsidRPr="00B5669C" w:rsidRDefault="00B5669C" w:rsidP="00B5669C">
            <w:pPr>
              <w:pStyle w:val="NormalTableau"/>
              <w:jc w:val="center"/>
              <w:rPr>
                <w:b/>
                <w:u w:val="single"/>
              </w:rPr>
            </w:pPr>
            <w:r w:rsidRPr="00B5669C">
              <w:rPr>
                <w:b/>
                <w:u w:val="single"/>
              </w:rPr>
              <w:t>Type de prescriptions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FC0ED63" w14:textId="77777777" w:rsidR="00B5669C" w:rsidRPr="00B5669C" w:rsidRDefault="00B5669C" w:rsidP="00B5669C">
            <w:pPr>
              <w:pStyle w:val="NormalTableau"/>
              <w:jc w:val="center"/>
              <w:rPr>
                <w:b/>
                <w:u w:val="single"/>
              </w:rPr>
            </w:pPr>
            <w:r w:rsidRPr="00B5669C">
              <w:rPr>
                <w:b/>
                <w:u w:val="single"/>
              </w:rPr>
              <w:t>Prescriptions</w:t>
            </w:r>
          </w:p>
        </w:tc>
      </w:tr>
      <w:tr w:rsidR="00B5669C" w:rsidRPr="00B5669C" w14:paraId="739C083B" w14:textId="77777777" w:rsidTr="00B5669C">
        <w:trPr>
          <w:trHeight w:val="42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AFF81E" w14:textId="77777777" w:rsidR="00B5669C" w:rsidRPr="00B5669C" w:rsidRDefault="00B5669C" w:rsidP="00B5669C">
            <w:pPr>
              <w:pStyle w:val="NormalTableau"/>
            </w:pPr>
            <w:r w:rsidRPr="00B5669C">
              <w:t>Type des constructions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E8A4A" w14:textId="26BDE8C7" w:rsidR="00B5669C" w:rsidRPr="00B5669C" w:rsidRDefault="00B5669C" w:rsidP="00B5669C">
            <w:pPr>
              <w:pStyle w:val="NormalTableau"/>
            </w:pPr>
            <w:r w:rsidRPr="00B5669C">
              <w:t>maison unifamiliale et bifamiliale,</w:t>
            </w:r>
            <w:r>
              <w:t xml:space="preserve"> </w:t>
            </w:r>
            <w:r w:rsidRPr="00B5669C">
              <w:t>isolée, jumelée ou en bande (max. 3)</w:t>
            </w:r>
          </w:p>
        </w:tc>
      </w:tr>
      <w:tr w:rsidR="00B5669C" w:rsidRPr="00B5669C" w14:paraId="539F0491" w14:textId="77777777" w:rsidTr="00B5669C">
        <w:trPr>
          <w:trHeight w:val="417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F4A6FC" w14:textId="77777777" w:rsidR="00B5669C" w:rsidRPr="00B5669C" w:rsidRDefault="00B5669C" w:rsidP="00B5669C">
            <w:pPr>
              <w:pStyle w:val="NormalTableau"/>
            </w:pPr>
            <w:r w:rsidRPr="00B5669C">
              <w:t>Bande de construction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6EC96" w14:textId="4A8A0862" w:rsidR="00B5669C" w:rsidRPr="00B5669C" w:rsidRDefault="00B5669C" w:rsidP="00B5669C">
            <w:pPr>
              <w:pStyle w:val="NormalTableau"/>
            </w:pPr>
            <w:r w:rsidRPr="00B5669C">
              <w:t>max. 25,00 m</w:t>
            </w:r>
          </w:p>
        </w:tc>
      </w:tr>
      <w:tr w:rsidR="00B5669C" w:rsidRPr="00B5669C" w14:paraId="294CC56D" w14:textId="77777777" w:rsidTr="00B5669C">
        <w:trPr>
          <w:trHeight w:val="408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7F12DC" w14:textId="77777777" w:rsidR="00B5669C" w:rsidRPr="00B5669C" w:rsidRDefault="00B5669C" w:rsidP="00B5669C">
            <w:pPr>
              <w:pStyle w:val="NormalTableau"/>
            </w:pPr>
            <w:r w:rsidRPr="00B5669C">
              <w:t>Alignement de la façade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32FC8" w14:textId="77777777" w:rsidR="00B5669C" w:rsidRPr="00B5669C" w:rsidRDefault="00B5669C" w:rsidP="00B5669C">
            <w:pPr>
              <w:pStyle w:val="NormalTableau"/>
            </w:pPr>
            <w:r w:rsidRPr="00B5669C">
              <w:t>respecter les reculs</w:t>
            </w:r>
          </w:p>
        </w:tc>
      </w:tr>
      <w:tr w:rsidR="00B5669C" w:rsidRPr="00B5669C" w14:paraId="500FD84C" w14:textId="77777777" w:rsidTr="00B5669C">
        <w:trPr>
          <w:trHeight w:val="401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3EC22A" w14:textId="77777777" w:rsidR="00B5669C" w:rsidRPr="00B5669C" w:rsidRDefault="00B5669C" w:rsidP="00B5669C">
            <w:pPr>
              <w:pStyle w:val="NormalTableau"/>
            </w:pPr>
            <w:r w:rsidRPr="00B5669C">
              <w:t>Profondeur de construction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B7762" w14:textId="77777777" w:rsidR="00B5669C" w:rsidRPr="00B5669C" w:rsidRDefault="00B5669C" w:rsidP="00B5669C">
            <w:pPr>
              <w:pStyle w:val="NormalTableau"/>
            </w:pPr>
            <w:r w:rsidRPr="00B5669C">
              <w:t>max. 15,00 m</w:t>
            </w:r>
          </w:p>
        </w:tc>
      </w:tr>
      <w:tr w:rsidR="00B5669C" w:rsidRPr="00B5669C" w14:paraId="3F2BA8D0" w14:textId="77777777" w:rsidTr="00B5669C">
        <w:trPr>
          <w:trHeight w:val="421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E9BDEB" w14:textId="77777777" w:rsidR="00B5669C" w:rsidRPr="00B5669C" w:rsidRDefault="00B5669C" w:rsidP="00B5669C">
            <w:pPr>
              <w:pStyle w:val="NormalTableau"/>
            </w:pPr>
            <w:r w:rsidRPr="00B5669C">
              <w:t xml:space="preserve">Recul avant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79FD6" w14:textId="77777777" w:rsidR="00B5669C" w:rsidRPr="00B5669C" w:rsidRDefault="00B5669C" w:rsidP="00B5669C">
            <w:pPr>
              <w:pStyle w:val="NormalTableau"/>
            </w:pPr>
            <w:r w:rsidRPr="00B5669C">
              <w:t>min. 5,00 m ou bande d'alignement</w:t>
            </w:r>
          </w:p>
        </w:tc>
      </w:tr>
      <w:tr w:rsidR="00B5669C" w:rsidRPr="00B5669C" w14:paraId="1546ECE6" w14:textId="77777777" w:rsidTr="00B5669C">
        <w:trPr>
          <w:trHeight w:val="424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F805C3" w14:textId="77777777" w:rsidR="00B5669C" w:rsidRPr="00B5669C" w:rsidRDefault="00B5669C" w:rsidP="00B5669C">
            <w:pPr>
              <w:pStyle w:val="NormalTableau"/>
            </w:pPr>
            <w:r w:rsidRPr="00B5669C">
              <w:t xml:space="preserve">Recul latéral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1C748" w14:textId="77777777" w:rsidR="00B5669C" w:rsidRPr="00B5669C" w:rsidRDefault="00B5669C" w:rsidP="00B5669C">
            <w:pPr>
              <w:pStyle w:val="NormalTableau"/>
            </w:pPr>
            <w:r w:rsidRPr="00B5669C">
              <w:t>min. 2,50 m, sauf accolé</w:t>
            </w:r>
          </w:p>
        </w:tc>
      </w:tr>
      <w:tr w:rsidR="00B5669C" w:rsidRPr="00B5669C" w14:paraId="3F1B58E7" w14:textId="77777777" w:rsidTr="00B5669C">
        <w:trPr>
          <w:trHeight w:val="417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FB01EE" w14:textId="77777777" w:rsidR="00B5669C" w:rsidRPr="00B5669C" w:rsidRDefault="00B5669C" w:rsidP="00B5669C">
            <w:pPr>
              <w:pStyle w:val="NormalTableau"/>
            </w:pPr>
            <w:r w:rsidRPr="00B5669C">
              <w:t xml:space="preserve">Recul arrière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5E127" w14:textId="77777777" w:rsidR="00B5669C" w:rsidRPr="00B5669C" w:rsidRDefault="00B5669C" w:rsidP="00B5669C">
            <w:pPr>
              <w:pStyle w:val="NormalTableau"/>
            </w:pPr>
            <w:r w:rsidRPr="00B5669C">
              <w:t>min. 5,00 m</w:t>
            </w:r>
          </w:p>
        </w:tc>
      </w:tr>
      <w:tr w:rsidR="00B5669C" w:rsidRPr="00B5669C" w14:paraId="4A258AD3" w14:textId="77777777" w:rsidTr="00B5669C">
        <w:trPr>
          <w:trHeight w:val="409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2E778D" w14:textId="77777777" w:rsidR="00B5669C" w:rsidRPr="00B5669C" w:rsidRDefault="00B5669C" w:rsidP="00B5669C">
            <w:pPr>
              <w:pStyle w:val="NormalTableau"/>
            </w:pPr>
            <w:r w:rsidRPr="00B5669C">
              <w:t>Niveaux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D29B2" w14:textId="77777777" w:rsidR="00B5669C" w:rsidRPr="00B5669C" w:rsidRDefault="00B5669C" w:rsidP="00B5669C">
            <w:pPr>
              <w:pStyle w:val="NormalTableau"/>
            </w:pPr>
            <w:r w:rsidRPr="00B5669C">
              <w:t>max. 2 (R+1+1C/ER+1SS)</w:t>
            </w:r>
          </w:p>
        </w:tc>
      </w:tr>
      <w:tr w:rsidR="00B5669C" w:rsidRPr="00B5669C" w14:paraId="55ADF288" w14:textId="77777777" w:rsidTr="00B5669C">
        <w:trPr>
          <w:trHeight w:val="417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8F8E" w14:textId="77777777" w:rsidR="00B5669C" w:rsidRPr="00B5669C" w:rsidRDefault="00B5669C" w:rsidP="00B5669C">
            <w:pPr>
              <w:pStyle w:val="NormalTableau"/>
            </w:pPr>
            <w:r w:rsidRPr="00B5669C">
              <w:t xml:space="preserve">Hauteur 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EF853" w14:textId="77777777" w:rsidR="00B5669C" w:rsidRPr="00B5669C" w:rsidRDefault="00B5669C" w:rsidP="00B5669C">
            <w:pPr>
              <w:pStyle w:val="NormalTableau"/>
            </w:pPr>
            <w:r w:rsidRPr="00B5669C">
              <w:t>Corniche</w:t>
            </w:r>
          </w:p>
        </w:tc>
        <w:tc>
          <w:tcPr>
            <w:tcW w:w="5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97BC3" w14:textId="77777777" w:rsidR="00B5669C" w:rsidRPr="00B5669C" w:rsidRDefault="00B5669C" w:rsidP="00B5669C">
            <w:pPr>
              <w:pStyle w:val="NormalTableau"/>
            </w:pPr>
            <w:r w:rsidRPr="00B5669C">
              <w:t>max.  7,00 m</w:t>
            </w:r>
          </w:p>
        </w:tc>
      </w:tr>
      <w:tr w:rsidR="00B5669C" w:rsidRPr="00B5669C" w14:paraId="3DCD448A" w14:textId="77777777" w:rsidTr="00B5669C">
        <w:trPr>
          <w:trHeight w:val="409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2DA4" w14:textId="77777777" w:rsidR="00B5669C" w:rsidRPr="00B5669C" w:rsidRDefault="00B5669C" w:rsidP="00B5669C">
            <w:pPr>
              <w:pStyle w:val="NormalTableau"/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9A513" w14:textId="77777777" w:rsidR="00B5669C" w:rsidRPr="00B5669C" w:rsidRDefault="00B5669C" w:rsidP="00B5669C">
            <w:pPr>
              <w:pStyle w:val="NormalTableau"/>
            </w:pPr>
            <w:r w:rsidRPr="00B5669C">
              <w:t>Faîtage</w:t>
            </w:r>
          </w:p>
        </w:tc>
        <w:tc>
          <w:tcPr>
            <w:tcW w:w="5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EA217" w14:textId="77777777" w:rsidR="00B5669C" w:rsidRPr="00B5669C" w:rsidRDefault="00B5669C" w:rsidP="00B5669C">
            <w:pPr>
              <w:pStyle w:val="NormalTableau"/>
            </w:pPr>
            <w:r w:rsidRPr="00B5669C">
              <w:t>max. 11,75 m</w:t>
            </w:r>
          </w:p>
        </w:tc>
      </w:tr>
      <w:tr w:rsidR="00B5669C" w:rsidRPr="00B5669C" w14:paraId="2AE353F7" w14:textId="77777777" w:rsidTr="00B5669C">
        <w:trPr>
          <w:trHeight w:val="41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4976" w14:textId="77777777" w:rsidR="00B5669C" w:rsidRPr="00B5669C" w:rsidRDefault="00B5669C" w:rsidP="00B5669C">
            <w:pPr>
              <w:pStyle w:val="NormalTableau"/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DF9DA" w14:textId="77777777" w:rsidR="00B5669C" w:rsidRPr="00B5669C" w:rsidRDefault="00B5669C" w:rsidP="00B5669C">
            <w:pPr>
              <w:pStyle w:val="NormalTableau"/>
            </w:pPr>
            <w:r w:rsidRPr="00B5669C">
              <w:t>Acrotère</w:t>
            </w:r>
          </w:p>
        </w:tc>
        <w:tc>
          <w:tcPr>
            <w:tcW w:w="52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6ECB2" w14:textId="77777777" w:rsidR="00B5669C" w:rsidRPr="00B5669C" w:rsidRDefault="00B5669C" w:rsidP="00B5669C">
            <w:pPr>
              <w:pStyle w:val="NormalTableau"/>
            </w:pPr>
            <w:r w:rsidRPr="00B5669C">
              <w:t>max. 7,00 m</w:t>
            </w:r>
          </w:p>
        </w:tc>
      </w:tr>
      <w:tr w:rsidR="00B5669C" w:rsidRPr="00B5669C" w14:paraId="155A4F84" w14:textId="77777777" w:rsidTr="00B5669C">
        <w:trPr>
          <w:trHeight w:val="421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18E266" w14:textId="77777777" w:rsidR="00B5669C" w:rsidRPr="00B5669C" w:rsidRDefault="00B5669C" w:rsidP="00B5669C">
            <w:pPr>
              <w:pStyle w:val="NormalTableau"/>
            </w:pPr>
            <w:r w:rsidRPr="00B5669C">
              <w:t>Unités de logement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261AF" w14:textId="77777777" w:rsidR="00B5669C" w:rsidRPr="00B5669C" w:rsidRDefault="00B5669C" w:rsidP="00B5669C">
            <w:pPr>
              <w:pStyle w:val="NormalTableau"/>
            </w:pPr>
            <w:r w:rsidRPr="00B5669C">
              <w:t>max. 2</w:t>
            </w:r>
          </w:p>
        </w:tc>
      </w:tr>
      <w:tr w:rsidR="00B5669C" w:rsidRPr="00B5669C" w14:paraId="678DDB3C" w14:textId="77777777" w:rsidTr="00B5669C">
        <w:trPr>
          <w:trHeight w:val="499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945BB" w14:textId="09CA956A" w:rsidR="00B5669C" w:rsidRPr="00B5669C" w:rsidRDefault="00B5669C" w:rsidP="00B5669C">
            <w:pPr>
              <w:pStyle w:val="NormalTableau"/>
            </w:pPr>
            <w:r>
              <w:t>Emplacements/</w:t>
            </w:r>
            <w:r w:rsidRPr="00B5669C">
              <w:t>logement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4FB6A" w14:textId="77777777" w:rsidR="00B5669C" w:rsidRPr="00B5669C" w:rsidRDefault="00B5669C" w:rsidP="00B5669C">
            <w:pPr>
              <w:pStyle w:val="NormalTableau"/>
            </w:pPr>
            <w:r w:rsidRPr="00B5669C">
              <w:t>min. 1 couvert parmi ceux requis par logement</w:t>
            </w:r>
          </w:p>
        </w:tc>
      </w:tr>
      <w:tr w:rsidR="00B5669C" w:rsidRPr="00B5669C" w14:paraId="1D1400BF" w14:textId="77777777" w:rsidTr="00B5669C">
        <w:trPr>
          <w:trHeight w:val="619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2082CF" w14:textId="77777777" w:rsidR="00B5669C" w:rsidRPr="00B5669C" w:rsidRDefault="00B5669C" w:rsidP="00B5669C">
            <w:pPr>
              <w:pStyle w:val="NormalTableau"/>
            </w:pPr>
            <w:r w:rsidRPr="00B5669C">
              <w:t>Dimensions façade principale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36264" w14:textId="77777777" w:rsidR="00B5669C" w:rsidRDefault="00B5669C" w:rsidP="00B5669C">
            <w:pPr>
              <w:pStyle w:val="NormalTableau"/>
            </w:pPr>
            <w:r w:rsidRPr="00B5669C">
              <w:t>min. 7,50 m</w:t>
            </w:r>
          </w:p>
          <w:p w14:paraId="22471C43" w14:textId="0560FAD5" w:rsidR="00B5669C" w:rsidRPr="00B5669C" w:rsidRDefault="00B5669C" w:rsidP="00B5669C">
            <w:pPr>
              <w:pStyle w:val="NormalTableau"/>
            </w:pPr>
            <w:r w:rsidRPr="00B5669C">
              <w:t>max. 20,00 m</w:t>
            </w:r>
          </w:p>
        </w:tc>
      </w:tr>
    </w:tbl>
    <w:p w14:paraId="2C6F4780" w14:textId="35E2D9F5" w:rsidR="00B5669C" w:rsidRDefault="00B5669C" w:rsidP="004D1021">
      <w:pPr>
        <w:rPr>
          <w:lang w:val="fr-LU"/>
        </w:rPr>
      </w:pPr>
    </w:p>
    <w:p w14:paraId="5F42467F" w14:textId="7ACBCB3B" w:rsidR="00B5669C" w:rsidRPr="0070049F" w:rsidRDefault="0070049F" w:rsidP="0070049F">
      <w:pPr>
        <w:pStyle w:val="Heading2"/>
      </w:pPr>
      <w:r w:rsidRPr="0070049F">
        <w:t xml:space="preserve">Art. 1.1 </w:t>
      </w:r>
      <w:r w:rsidR="00B5669C" w:rsidRPr="0070049F">
        <w:t>Type des constructions</w:t>
      </w:r>
    </w:p>
    <w:p w14:paraId="0C9752D4" w14:textId="77777777" w:rsidR="00B5669C" w:rsidRPr="00B5669C" w:rsidRDefault="00B5669C" w:rsidP="00B5669C">
      <w:pPr>
        <w:rPr>
          <w:lang w:val="fr-LU"/>
        </w:rPr>
      </w:pPr>
      <w:r w:rsidRPr="00B5669C">
        <w:rPr>
          <w:lang w:val="fr-LU"/>
        </w:rPr>
        <w:t xml:space="preserve">Sont admises les maisons d’habitation unifamiliales et </w:t>
      </w:r>
      <w:proofErr w:type="spellStart"/>
      <w:r w:rsidRPr="00B5669C">
        <w:rPr>
          <w:lang w:val="fr-LU"/>
        </w:rPr>
        <w:t>bifamiliales</w:t>
      </w:r>
      <w:proofErr w:type="spellEnd"/>
      <w:r w:rsidRPr="00B5669C">
        <w:rPr>
          <w:lang w:val="fr-LU"/>
        </w:rPr>
        <w:t>.</w:t>
      </w:r>
    </w:p>
    <w:p w14:paraId="24513694" w14:textId="77777777" w:rsidR="00B5669C" w:rsidRPr="00B5669C" w:rsidRDefault="00B5669C" w:rsidP="00B5669C">
      <w:pPr>
        <w:rPr>
          <w:lang w:val="fr-LU"/>
        </w:rPr>
      </w:pPr>
      <w:r w:rsidRPr="00B5669C">
        <w:rPr>
          <w:lang w:val="fr-LU"/>
        </w:rPr>
        <w:t>Les constructions principales peuvent être en bande, isolées ou jumelées.</w:t>
      </w:r>
    </w:p>
    <w:p w14:paraId="6BFF0330" w14:textId="009E2278" w:rsidR="00B5669C" w:rsidRPr="00B5669C" w:rsidRDefault="00B5669C" w:rsidP="00B5669C">
      <w:pPr>
        <w:rPr>
          <w:lang w:val="fr-LU"/>
        </w:rPr>
      </w:pPr>
      <w:r w:rsidRPr="00B5669C">
        <w:rPr>
          <w:lang w:val="fr-LU"/>
        </w:rPr>
        <w:t>Le groupement en bande est uniquement admis s’il résulte de l’accolement à un ou plusieurs pignons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nus existants.</w:t>
      </w:r>
    </w:p>
    <w:p w14:paraId="618E5D66" w14:textId="005E46D4" w:rsidR="00B5669C" w:rsidRPr="00B5669C" w:rsidRDefault="00B5669C" w:rsidP="00B5669C">
      <w:pPr>
        <w:rPr>
          <w:lang w:val="fr-LU"/>
        </w:rPr>
      </w:pPr>
      <w:r w:rsidRPr="00B5669C">
        <w:rPr>
          <w:lang w:val="fr-LU"/>
        </w:rPr>
        <w:t>Des nouvelles constructions en bande sont uniquement admises si les demandes d’autorisation de ces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constructions sont présentées simultanément. Dans ce cas, un maximum de 3 maisons en bande est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admis.</w:t>
      </w:r>
    </w:p>
    <w:p w14:paraId="2DA1F7E2" w14:textId="77777777" w:rsidR="00B5669C" w:rsidRPr="00B5669C" w:rsidRDefault="00B5669C" w:rsidP="00B5669C">
      <w:pPr>
        <w:rPr>
          <w:lang w:val="fr-LU"/>
        </w:rPr>
      </w:pPr>
      <w:r w:rsidRPr="00B5669C">
        <w:rPr>
          <w:lang w:val="fr-LU"/>
        </w:rPr>
        <w:t>Les maisons unifamiliales avec logement intégré sont autorisées.</w:t>
      </w:r>
    </w:p>
    <w:p w14:paraId="39AF6D2C" w14:textId="2A044DA5" w:rsidR="00B5669C" w:rsidRPr="00B5669C" w:rsidRDefault="0070049F" w:rsidP="0070049F">
      <w:pPr>
        <w:pStyle w:val="Heading2"/>
        <w:rPr>
          <w:lang w:val="fr-LU"/>
        </w:rPr>
      </w:pPr>
      <w:r>
        <w:rPr>
          <w:lang w:val="fr-LU"/>
        </w:rPr>
        <w:t xml:space="preserve">Art. 1.2 </w:t>
      </w:r>
      <w:r w:rsidR="00B5669C" w:rsidRPr="00B5669C">
        <w:rPr>
          <w:lang w:val="fr-LU"/>
        </w:rPr>
        <w:t>Implantation des constructions principales</w:t>
      </w:r>
    </w:p>
    <w:p w14:paraId="19FC032F" w14:textId="0E7E6E35" w:rsidR="00B5669C" w:rsidRPr="00B5669C" w:rsidRDefault="0070049F" w:rsidP="0070049F">
      <w:pPr>
        <w:pStyle w:val="Heading3"/>
        <w:rPr>
          <w:lang w:val="fr-LU"/>
        </w:rPr>
      </w:pPr>
      <w:r>
        <w:rPr>
          <w:lang w:val="fr-LU"/>
        </w:rPr>
        <w:t xml:space="preserve">Art. 1.2.1 </w:t>
      </w:r>
      <w:r w:rsidR="00B5669C" w:rsidRPr="00B5669C">
        <w:rPr>
          <w:lang w:val="fr-LU"/>
        </w:rPr>
        <w:t>Bande de construction</w:t>
      </w:r>
    </w:p>
    <w:p w14:paraId="5AD052CF" w14:textId="059B1134" w:rsidR="00B5669C" w:rsidRDefault="00B5669C" w:rsidP="00B5669C">
      <w:pPr>
        <w:rPr>
          <w:lang w:val="fr-LU"/>
        </w:rPr>
      </w:pPr>
      <w:r w:rsidRPr="00B5669C">
        <w:rPr>
          <w:lang w:val="fr-LU"/>
        </w:rPr>
        <w:t>Les constructions principales et annexes accolées, hors-sol et sous-sol, doivent être implantées dans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une bande de construction de maximum 25,00 mètres depuis la limite entre le domaine public et le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domaine privé.</w:t>
      </w:r>
    </w:p>
    <w:p w14:paraId="0796AFC8" w14:textId="24E638D9" w:rsidR="00B5669C" w:rsidRDefault="00B5669C" w:rsidP="0070049F">
      <w:pPr>
        <w:jc w:val="center"/>
        <w:rPr>
          <w:lang w:val="fr-LU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78A779CF" wp14:editId="4BF900C5">
            <wp:extent cx="5095875" cy="1647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FB027" w14:textId="669433D5" w:rsidR="00B5669C" w:rsidRDefault="00B5669C" w:rsidP="00B5669C">
      <w:pPr>
        <w:rPr>
          <w:lang w:val="fr-LU"/>
        </w:rPr>
      </w:pPr>
    </w:p>
    <w:p w14:paraId="154C8C63" w14:textId="7218F21C" w:rsidR="00B5669C" w:rsidRPr="0070049F" w:rsidRDefault="0070049F" w:rsidP="0070049F">
      <w:pPr>
        <w:pStyle w:val="Heading3"/>
      </w:pPr>
      <w:r w:rsidRPr="0070049F">
        <w:t xml:space="preserve">Art. 1.2.2 </w:t>
      </w:r>
      <w:proofErr w:type="spellStart"/>
      <w:r w:rsidR="00B5669C" w:rsidRPr="0070049F">
        <w:t>Alignement</w:t>
      </w:r>
      <w:proofErr w:type="spellEnd"/>
      <w:r w:rsidR="00B5669C" w:rsidRPr="0070049F">
        <w:t xml:space="preserve"> de la façade</w:t>
      </w:r>
    </w:p>
    <w:p w14:paraId="34B26CA2" w14:textId="77777777" w:rsidR="00B5669C" w:rsidRPr="00B5669C" w:rsidRDefault="00B5669C" w:rsidP="00B5669C">
      <w:pPr>
        <w:rPr>
          <w:lang w:val="fr-LU"/>
        </w:rPr>
      </w:pPr>
      <w:r w:rsidRPr="00B5669C">
        <w:rPr>
          <w:lang w:val="fr-LU"/>
        </w:rPr>
        <w:t>L’alignement de la façade doit respecter les reculs.</w:t>
      </w:r>
    </w:p>
    <w:p w14:paraId="3BFE654F" w14:textId="129B2585" w:rsidR="00B5669C" w:rsidRPr="0070049F" w:rsidRDefault="0070049F" w:rsidP="0070049F">
      <w:pPr>
        <w:pStyle w:val="Heading3"/>
      </w:pPr>
      <w:r w:rsidRPr="0070049F">
        <w:t xml:space="preserve">Art. 1.2.3 </w:t>
      </w:r>
      <w:proofErr w:type="spellStart"/>
      <w:r w:rsidR="00B5669C" w:rsidRPr="0070049F">
        <w:t>Profondeur</w:t>
      </w:r>
      <w:proofErr w:type="spellEnd"/>
      <w:r w:rsidR="00B5669C" w:rsidRPr="0070049F">
        <w:t xml:space="preserve"> de construction</w:t>
      </w:r>
    </w:p>
    <w:p w14:paraId="5E955907" w14:textId="61AA9245" w:rsidR="00B5669C" w:rsidRDefault="00B5669C" w:rsidP="00B5669C">
      <w:pPr>
        <w:rPr>
          <w:lang w:val="fr-LU"/>
        </w:rPr>
      </w:pPr>
      <w:r w:rsidRPr="00B5669C">
        <w:rPr>
          <w:lang w:val="fr-LU"/>
        </w:rPr>
        <w:t>La profondeur de construction principale hors-sol est limitée à 15,00 mètres.</w:t>
      </w:r>
    </w:p>
    <w:p w14:paraId="67BA5A60" w14:textId="05455DF0" w:rsidR="00B5669C" w:rsidRDefault="00B5669C" w:rsidP="0070049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14AF0FC9" wp14:editId="1AFD5F7F">
            <wp:extent cx="5400675" cy="2305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168A6" w14:textId="3B2736FD" w:rsidR="00B5669C" w:rsidRDefault="00B5669C" w:rsidP="00B5669C">
      <w:pPr>
        <w:rPr>
          <w:lang w:val="fr-LU"/>
        </w:rPr>
      </w:pPr>
    </w:p>
    <w:p w14:paraId="6A754A12" w14:textId="6D33F909" w:rsidR="00B5669C" w:rsidRPr="0070049F" w:rsidRDefault="0070049F" w:rsidP="0070049F">
      <w:pPr>
        <w:pStyle w:val="Heading2"/>
      </w:pPr>
      <w:r w:rsidRPr="0070049F">
        <w:t xml:space="preserve">Art. 1.3 </w:t>
      </w:r>
      <w:proofErr w:type="spellStart"/>
      <w:r w:rsidR="00B5669C" w:rsidRPr="0070049F">
        <w:t>Recul</w:t>
      </w:r>
      <w:proofErr w:type="spellEnd"/>
      <w:r w:rsidR="00B5669C" w:rsidRPr="0070049F">
        <w:t xml:space="preserve"> de la construction </w:t>
      </w:r>
      <w:proofErr w:type="spellStart"/>
      <w:r w:rsidR="00B5669C" w:rsidRPr="0070049F">
        <w:t>principale</w:t>
      </w:r>
      <w:proofErr w:type="spellEnd"/>
      <w:r w:rsidR="00B5669C" w:rsidRPr="0070049F">
        <w:t xml:space="preserve"> par rapport aux </w:t>
      </w:r>
      <w:proofErr w:type="spellStart"/>
      <w:r w:rsidR="00B5669C" w:rsidRPr="0070049F">
        <w:t>limites</w:t>
      </w:r>
      <w:proofErr w:type="spellEnd"/>
      <w:r w:rsidR="00B5669C" w:rsidRPr="0070049F">
        <w:t xml:space="preserve"> du terrain à </w:t>
      </w:r>
      <w:proofErr w:type="spellStart"/>
      <w:r w:rsidR="00B5669C" w:rsidRPr="0070049F">
        <w:t>bâtir</w:t>
      </w:r>
      <w:proofErr w:type="spellEnd"/>
      <w:r w:rsidR="00B5669C" w:rsidRPr="0070049F">
        <w:t xml:space="preserve"> net</w:t>
      </w:r>
    </w:p>
    <w:p w14:paraId="5C7C14D9" w14:textId="606D76AB" w:rsidR="00B5669C" w:rsidRDefault="00B5669C" w:rsidP="0070049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395C3B28" wp14:editId="2256364A">
            <wp:extent cx="4972050" cy="2209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E6A64" w14:textId="4A1D0D75" w:rsidR="00B5669C" w:rsidRDefault="00B5669C" w:rsidP="00B5669C">
      <w:pPr>
        <w:rPr>
          <w:lang w:val="fr-LU"/>
        </w:rPr>
      </w:pPr>
    </w:p>
    <w:p w14:paraId="45D747BE" w14:textId="2561814C" w:rsidR="00B5669C" w:rsidRPr="00B5669C" w:rsidRDefault="0070049F" w:rsidP="0070049F">
      <w:pPr>
        <w:pStyle w:val="Heading3"/>
        <w:rPr>
          <w:lang w:val="fr-LU"/>
        </w:rPr>
      </w:pPr>
      <w:r>
        <w:rPr>
          <w:lang w:val="fr-LU"/>
        </w:rPr>
        <w:lastRenderedPageBreak/>
        <w:t xml:space="preserve">Art. 1.3.2 </w:t>
      </w:r>
      <w:r w:rsidR="00B5669C" w:rsidRPr="00B5669C">
        <w:rPr>
          <w:lang w:val="fr-LU"/>
        </w:rPr>
        <w:t>Recul avant d’une construction hors-sol</w:t>
      </w:r>
    </w:p>
    <w:p w14:paraId="5ACB6D93" w14:textId="0F18A8BB" w:rsidR="00B5669C" w:rsidRPr="00B5669C" w:rsidRDefault="00B5669C" w:rsidP="00B5669C">
      <w:pPr>
        <w:rPr>
          <w:lang w:val="fr-LU"/>
        </w:rPr>
      </w:pPr>
      <w:r w:rsidRPr="00B5669C">
        <w:rPr>
          <w:lang w:val="fr-LU"/>
        </w:rPr>
        <w:t>Sous conditions que la visibilité soit garantie, la façade avant de la construction principale doit être</w:t>
      </w:r>
      <w:r w:rsidR="0070049F">
        <w:rPr>
          <w:lang w:val="fr-LU"/>
        </w:rPr>
        <w:t xml:space="preserve"> implantée</w:t>
      </w:r>
      <w:r w:rsidRPr="00B5669C">
        <w:rPr>
          <w:lang w:val="fr-LU"/>
        </w:rPr>
        <w:t>:</w:t>
      </w:r>
    </w:p>
    <w:p w14:paraId="3E8B0155" w14:textId="77777777" w:rsidR="0070049F" w:rsidRDefault="00B5669C" w:rsidP="00B5669C">
      <w:pPr>
        <w:pStyle w:val="ListParagraph"/>
        <w:numPr>
          <w:ilvl w:val="0"/>
          <w:numId w:val="7"/>
        </w:numPr>
        <w:rPr>
          <w:lang w:val="fr-LU"/>
        </w:rPr>
      </w:pPr>
      <w:proofErr w:type="gramStart"/>
      <w:r w:rsidRPr="0070049F">
        <w:rPr>
          <w:lang w:val="fr-LU"/>
        </w:rPr>
        <w:t>en</w:t>
      </w:r>
      <w:proofErr w:type="gramEnd"/>
      <w:r w:rsidRPr="0070049F">
        <w:rPr>
          <w:lang w:val="fr-LU"/>
        </w:rPr>
        <w:t xml:space="preserve"> respectant un recul avant de minimum 5,00 mètres, à calculer par rapport au domaine public</w:t>
      </w:r>
      <w:r w:rsidR="0070049F">
        <w:rPr>
          <w:lang w:val="fr-LU"/>
        </w:rPr>
        <w:t xml:space="preserve"> </w:t>
      </w:r>
      <w:r w:rsidRPr="0070049F">
        <w:rPr>
          <w:lang w:val="fr-LU"/>
        </w:rPr>
        <w:t xml:space="preserve">(voie </w:t>
      </w:r>
      <w:proofErr w:type="spellStart"/>
      <w:r w:rsidRPr="0070049F">
        <w:rPr>
          <w:lang w:val="fr-LU"/>
        </w:rPr>
        <w:t>desservante</w:t>
      </w:r>
      <w:proofErr w:type="spellEnd"/>
      <w:r w:rsidRPr="0070049F">
        <w:rPr>
          <w:lang w:val="fr-LU"/>
        </w:rPr>
        <w:t xml:space="preserve"> et trottoir), en cas d’absence de construc</w:t>
      </w:r>
      <w:r w:rsidR="0070049F">
        <w:rPr>
          <w:lang w:val="fr-LU"/>
        </w:rPr>
        <w:t>tion sur les parcelles voisines</w:t>
      </w:r>
      <w:r w:rsidRPr="0070049F">
        <w:rPr>
          <w:lang w:val="fr-LU"/>
        </w:rPr>
        <w:t>;</w:t>
      </w:r>
    </w:p>
    <w:p w14:paraId="14F91F08" w14:textId="4FE2B275" w:rsidR="00B5669C" w:rsidRPr="0070049F" w:rsidRDefault="00B5669C" w:rsidP="00FA437C">
      <w:pPr>
        <w:pStyle w:val="ListParagraph"/>
        <w:numPr>
          <w:ilvl w:val="0"/>
          <w:numId w:val="7"/>
        </w:numPr>
        <w:rPr>
          <w:lang w:val="fr-LU"/>
        </w:rPr>
      </w:pPr>
      <w:proofErr w:type="gramStart"/>
      <w:r w:rsidRPr="0070049F">
        <w:rPr>
          <w:lang w:val="fr-LU"/>
        </w:rPr>
        <w:t>dans</w:t>
      </w:r>
      <w:proofErr w:type="gramEnd"/>
      <w:r w:rsidRPr="0070049F">
        <w:rPr>
          <w:lang w:val="fr-LU"/>
        </w:rPr>
        <w:t xml:space="preserve"> la bande d’alignement formée par le prolongement de chacune des deux façades avant</w:t>
      </w:r>
      <w:r w:rsidR="0070049F" w:rsidRPr="0070049F">
        <w:rPr>
          <w:lang w:val="fr-LU"/>
        </w:rPr>
        <w:t xml:space="preserve"> </w:t>
      </w:r>
      <w:r w:rsidRPr="0070049F">
        <w:rPr>
          <w:lang w:val="fr-LU"/>
        </w:rPr>
        <w:t>des constructions principales existantes sur les parcelles voisines, avec un recul avant de</w:t>
      </w:r>
      <w:r w:rsidR="0070049F">
        <w:rPr>
          <w:lang w:val="fr-LU"/>
        </w:rPr>
        <w:t xml:space="preserve"> </w:t>
      </w:r>
      <w:r w:rsidRPr="0070049F">
        <w:rPr>
          <w:lang w:val="fr-LU"/>
        </w:rPr>
        <w:t>minimum 3,00 mètres.</w:t>
      </w:r>
    </w:p>
    <w:p w14:paraId="579A1679" w14:textId="4E740650" w:rsidR="00B5669C" w:rsidRDefault="00B5669C" w:rsidP="0070049F">
      <w:pPr>
        <w:ind w:left="1080"/>
        <w:rPr>
          <w:lang w:val="fr-LU"/>
        </w:rPr>
      </w:pPr>
      <w:r w:rsidRPr="00B5669C">
        <w:rPr>
          <w:lang w:val="fr-LU"/>
        </w:rPr>
        <w:t>Si la bande d’alignement se situe au-delà de 6,00 mètres, un recul avant de minimum 5,00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mètres est à calculer par rapport au domaine public</w:t>
      </w:r>
      <w:r w:rsidR="0070049F">
        <w:rPr>
          <w:lang w:val="fr-LU"/>
        </w:rPr>
        <w:t xml:space="preserve"> (voie </w:t>
      </w:r>
      <w:proofErr w:type="spellStart"/>
      <w:r w:rsidR="0070049F">
        <w:rPr>
          <w:lang w:val="fr-LU"/>
        </w:rPr>
        <w:t>desservante</w:t>
      </w:r>
      <w:proofErr w:type="spellEnd"/>
      <w:r w:rsidR="0070049F">
        <w:rPr>
          <w:lang w:val="fr-LU"/>
        </w:rPr>
        <w:t xml:space="preserve"> et trottoir)</w:t>
      </w:r>
      <w:r w:rsidRPr="00B5669C">
        <w:rPr>
          <w:lang w:val="fr-LU"/>
        </w:rPr>
        <w:t>;</w:t>
      </w:r>
    </w:p>
    <w:p w14:paraId="572EF886" w14:textId="6BB75B45" w:rsidR="00B5669C" w:rsidRDefault="00B5669C" w:rsidP="0070049F">
      <w:pPr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057E3396" wp14:editId="09A0750E">
            <wp:extent cx="5731510" cy="18542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56751" w14:textId="2D91114A" w:rsidR="00B5669C" w:rsidRDefault="00B5669C" w:rsidP="00B5669C">
      <w:pPr>
        <w:rPr>
          <w:lang w:val="fr-LU"/>
        </w:rPr>
      </w:pPr>
    </w:p>
    <w:p w14:paraId="17DCA8E7" w14:textId="7ECA8745" w:rsidR="00B5669C" w:rsidRPr="0070049F" w:rsidRDefault="00B5669C" w:rsidP="007D1323">
      <w:pPr>
        <w:pStyle w:val="ListParagraph"/>
        <w:numPr>
          <w:ilvl w:val="0"/>
          <w:numId w:val="8"/>
        </w:numPr>
        <w:rPr>
          <w:lang w:val="fr-LU"/>
        </w:rPr>
      </w:pPr>
      <w:proofErr w:type="gramStart"/>
      <w:r w:rsidRPr="0070049F">
        <w:rPr>
          <w:lang w:val="fr-LU"/>
        </w:rPr>
        <w:t>dans</w:t>
      </w:r>
      <w:proofErr w:type="gramEnd"/>
      <w:r w:rsidRPr="0070049F">
        <w:rPr>
          <w:lang w:val="fr-LU"/>
        </w:rPr>
        <w:t xml:space="preserve"> l’alignement de la façade avant de la construction principale existante sur la parcelle</w:t>
      </w:r>
      <w:r w:rsidR="0070049F">
        <w:rPr>
          <w:lang w:val="fr-LU"/>
        </w:rPr>
        <w:t xml:space="preserve"> </w:t>
      </w:r>
      <w:r w:rsidRPr="0070049F">
        <w:rPr>
          <w:lang w:val="fr-LU"/>
        </w:rPr>
        <w:t>voisine, dans le cas d’une seule parcelle voisine bâtie.</w:t>
      </w:r>
    </w:p>
    <w:p w14:paraId="7D32CE04" w14:textId="34504CA5" w:rsidR="00B5669C" w:rsidRPr="00B5669C" w:rsidRDefault="00B5669C" w:rsidP="0070049F">
      <w:pPr>
        <w:ind w:left="1080"/>
        <w:rPr>
          <w:lang w:val="fr-LU"/>
        </w:rPr>
      </w:pPr>
      <w:r w:rsidRPr="00B5669C">
        <w:rPr>
          <w:lang w:val="fr-LU"/>
        </w:rPr>
        <w:t>Si la bande d’alignement se situe au-delà de 6,00 mètres, un recul avant de minimum 5,00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 xml:space="preserve">mètres est à calculer par rapport au domaine public (voie </w:t>
      </w:r>
      <w:proofErr w:type="spellStart"/>
      <w:r w:rsidRPr="00B5669C">
        <w:rPr>
          <w:lang w:val="fr-LU"/>
        </w:rPr>
        <w:t>desservante</w:t>
      </w:r>
      <w:proofErr w:type="spellEnd"/>
      <w:r w:rsidRPr="00B5669C">
        <w:rPr>
          <w:lang w:val="fr-LU"/>
        </w:rPr>
        <w:t xml:space="preserve"> et trottoir).</w:t>
      </w:r>
    </w:p>
    <w:p w14:paraId="21166A1D" w14:textId="022D2CC7" w:rsidR="00B5669C" w:rsidRPr="0070049F" w:rsidRDefault="0070049F" w:rsidP="0070049F">
      <w:pPr>
        <w:pStyle w:val="Heading3"/>
      </w:pPr>
      <w:r w:rsidRPr="0070049F">
        <w:t xml:space="preserve">Art. 1.3.2 </w:t>
      </w:r>
      <w:proofErr w:type="spellStart"/>
      <w:r w:rsidR="00B5669C" w:rsidRPr="0070049F">
        <w:t>Recul</w:t>
      </w:r>
      <w:proofErr w:type="spellEnd"/>
      <w:r w:rsidR="00B5669C" w:rsidRPr="0070049F">
        <w:t xml:space="preserve"> </w:t>
      </w:r>
      <w:proofErr w:type="spellStart"/>
      <w:r w:rsidR="00B5669C" w:rsidRPr="0070049F">
        <w:t>latéral</w:t>
      </w:r>
      <w:proofErr w:type="spellEnd"/>
      <w:r w:rsidR="00B5669C" w:rsidRPr="0070049F">
        <w:t xml:space="preserve"> </w:t>
      </w:r>
      <w:proofErr w:type="spellStart"/>
      <w:r w:rsidR="00B5669C" w:rsidRPr="0070049F">
        <w:t>d’une</w:t>
      </w:r>
      <w:proofErr w:type="spellEnd"/>
      <w:r w:rsidR="00B5669C" w:rsidRPr="0070049F">
        <w:t xml:space="preserve"> construction hors-sol</w:t>
      </w:r>
    </w:p>
    <w:p w14:paraId="73F19B58" w14:textId="77777777" w:rsidR="00B5669C" w:rsidRPr="00B5669C" w:rsidRDefault="00B5669C" w:rsidP="00B5669C">
      <w:pPr>
        <w:rPr>
          <w:lang w:val="fr-LU"/>
        </w:rPr>
      </w:pPr>
      <w:r w:rsidRPr="00B5669C">
        <w:rPr>
          <w:lang w:val="fr-LU"/>
        </w:rPr>
        <w:t>Les constructions principales doivent respecter un recul latéral de minimum 2,50 mètres.</w:t>
      </w:r>
    </w:p>
    <w:p w14:paraId="31511F39" w14:textId="31C69A23" w:rsidR="00B5669C" w:rsidRDefault="00B5669C" w:rsidP="00B5669C">
      <w:pPr>
        <w:rPr>
          <w:lang w:val="fr-LU"/>
        </w:rPr>
      </w:pPr>
      <w:r w:rsidRPr="00B5669C">
        <w:rPr>
          <w:lang w:val="fr-LU"/>
        </w:rPr>
        <w:t>L’implantation en limite de parcelle est admise dans le cas de constructions accolées dont jumelées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contre un pignon nu existant et en bande contre 2 pignons nus existants.</w:t>
      </w:r>
    </w:p>
    <w:p w14:paraId="78D00532" w14:textId="77777777" w:rsidR="0070049F" w:rsidRDefault="00B5669C" w:rsidP="00B5669C">
      <w:pPr>
        <w:rPr>
          <w:lang w:val="fr-LU"/>
        </w:rPr>
      </w:pPr>
      <w:r w:rsidRPr="00B5669C">
        <w:rPr>
          <w:lang w:val="fr-LU"/>
        </w:rPr>
        <w:t>Toute nouvelle construction principale hors-sol peut être accolée à la limite séparative mitoyenne</w:t>
      </w:r>
      <w:r w:rsidR="0070049F">
        <w:rPr>
          <w:lang w:val="fr-LU"/>
        </w:rPr>
        <w:t xml:space="preserve"> entre deux parcelles:</w:t>
      </w:r>
    </w:p>
    <w:p w14:paraId="708D4759" w14:textId="77777777" w:rsidR="0070049F" w:rsidRDefault="00B5669C" w:rsidP="00B5669C">
      <w:pPr>
        <w:pStyle w:val="ListParagraph"/>
        <w:numPr>
          <w:ilvl w:val="0"/>
          <w:numId w:val="8"/>
        </w:numPr>
        <w:rPr>
          <w:lang w:val="fr-LU"/>
        </w:rPr>
      </w:pPr>
      <w:proofErr w:type="gramStart"/>
      <w:r w:rsidRPr="0070049F">
        <w:rPr>
          <w:lang w:val="fr-LU"/>
        </w:rPr>
        <w:t>si</w:t>
      </w:r>
      <w:proofErr w:type="gramEnd"/>
      <w:r w:rsidRPr="0070049F">
        <w:rPr>
          <w:lang w:val="fr-LU"/>
        </w:rPr>
        <w:t xml:space="preserve"> la construction hors-sol sur la parcelle voisine adjacente est accolée à cette limite ou</w:t>
      </w:r>
    </w:p>
    <w:p w14:paraId="561E4D80" w14:textId="68B1300D" w:rsidR="00B5669C" w:rsidRPr="0070049F" w:rsidRDefault="00B5669C" w:rsidP="00B5669C">
      <w:pPr>
        <w:pStyle w:val="ListParagraph"/>
        <w:numPr>
          <w:ilvl w:val="0"/>
          <w:numId w:val="8"/>
        </w:numPr>
        <w:rPr>
          <w:lang w:val="fr-LU"/>
        </w:rPr>
      </w:pPr>
      <w:proofErr w:type="gramStart"/>
      <w:r w:rsidRPr="0070049F">
        <w:rPr>
          <w:lang w:val="fr-LU"/>
        </w:rPr>
        <w:t>si</w:t>
      </w:r>
      <w:proofErr w:type="gramEnd"/>
      <w:r w:rsidRPr="0070049F">
        <w:rPr>
          <w:lang w:val="fr-LU"/>
        </w:rPr>
        <w:t xml:space="preserve"> des constructions jumelées ou en bande sont planifiées et réalisées en plusieurs phases.</w:t>
      </w:r>
    </w:p>
    <w:p w14:paraId="3EE57CBF" w14:textId="4809890C" w:rsidR="00B5669C" w:rsidRPr="00B5669C" w:rsidRDefault="00B5669C" w:rsidP="00B5669C">
      <w:pPr>
        <w:rPr>
          <w:lang w:val="fr-LU"/>
        </w:rPr>
      </w:pPr>
      <w:r w:rsidRPr="00B5669C">
        <w:rPr>
          <w:lang w:val="fr-LU"/>
        </w:rPr>
        <w:lastRenderedPageBreak/>
        <w:t>Dans le cas où une construction existante sur la parcelle voisine est accolée à la limite et que la nouvelle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construction ne s’accole pas à cette construction existante, un recul latéral de minimum 5,00 mètres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par rapport à la limite est à respecter.</w:t>
      </w:r>
    </w:p>
    <w:p w14:paraId="04EF7B1D" w14:textId="719EB858" w:rsidR="00B5669C" w:rsidRPr="00B5669C" w:rsidRDefault="0070049F" w:rsidP="0070049F">
      <w:pPr>
        <w:pStyle w:val="Heading3"/>
        <w:rPr>
          <w:lang w:val="fr-LU"/>
        </w:rPr>
      </w:pPr>
      <w:r>
        <w:rPr>
          <w:lang w:val="fr-LU"/>
        </w:rPr>
        <w:t xml:space="preserve">Art. 1.3.3 </w:t>
      </w:r>
      <w:r w:rsidR="00B5669C" w:rsidRPr="00B5669C">
        <w:rPr>
          <w:lang w:val="fr-LU"/>
        </w:rPr>
        <w:t>Recul arrière d’une construction hors-sol</w:t>
      </w:r>
    </w:p>
    <w:p w14:paraId="1E6233D5" w14:textId="77E68C99" w:rsidR="00B5669C" w:rsidRDefault="00B5669C" w:rsidP="00B5669C">
      <w:pPr>
        <w:rPr>
          <w:lang w:val="fr-LU"/>
        </w:rPr>
      </w:pPr>
      <w:r w:rsidRPr="00B5669C">
        <w:rPr>
          <w:lang w:val="fr-LU"/>
        </w:rPr>
        <w:t>Les constructions principales doivent respecter un recul arrière moyen d’au moins 5,00 mètres sans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que le point le plus rapproché de la construction principale ne puisse être distant de moins de 4,00</w:t>
      </w:r>
      <w:r w:rsidR="0070049F">
        <w:rPr>
          <w:lang w:val="fr-LU"/>
        </w:rPr>
        <w:t xml:space="preserve"> </w:t>
      </w:r>
      <w:r w:rsidRPr="00B5669C">
        <w:rPr>
          <w:lang w:val="fr-LU"/>
        </w:rPr>
        <w:t>mètres de la limite arrière.</w:t>
      </w:r>
    </w:p>
    <w:p w14:paraId="4AFF4EFB" w14:textId="50007B89" w:rsidR="00B5669C" w:rsidRDefault="00B5669C" w:rsidP="0070049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54E35D30" wp14:editId="317AD314">
            <wp:extent cx="4743450" cy="20097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0055F" w14:textId="78E270B4" w:rsidR="00B5669C" w:rsidRDefault="00B5669C" w:rsidP="00B5669C">
      <w:pPr>
        <w:rPr>
          <w:lang w:val="fr-LU"/>
        </w:rPr>
      </w:pPr>
    </w:p>
    <w:p w14:paraId="7F888BAC" w14:textId="16A9B9AB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Dans le cas où la façade d'un bâtiment se présente obliquement par rapport à la limite arrière de la</w:t>
      </w:r>
      <w:r>
        <w:rPr>
          <w:lang w:val="fr-LU"/>
        </w:rPr>
        <w:t xml:space="preserve"> </w:t>
      </w:r>
      <w:r w:rsidRPr="0070049F">
        <w:rPr>
          <w:lang w:val="fr-LU"/>
        </w:rPr>
        <w:t>propriété, le recul arrière est mesuré à partir du milieu de la façade perpendiculairement à cette limite.</w:t>
      </w:r>
    </w:p>
    <w:p w14:paraId="3463331B" w14:textId="03B7C625" w:rsidR="0070049F" w:rsidRPr="0070049F" w:rsidRDefault="0070049F" w:rsidP="0070049F">
      <w:pPr>
        <w:pStyle w:val="Heading3"/>
      </w:pPr>
      <w:r w:rsidRPr="0070049F">
        <w:t xml:space="preserve">Art. 1.3.4 </w:t>
      </w:r>
      <w:proofErr w:type="spellStart"/>
      <w:r w:rsidRPr="0070049F">
        <w:t>Reculs</w:t>
      </w:r>
      <w:proofErr w:type="spellEnd"/>
      <w:r w:rsidRPr="0070049F">
        <w:t xml:space="preserve"> </w:t>
      </w:r>
      <w:proofErr w:type="spellStart"/>
      <w:r w:rsidRPr="0070049F">
        <w:t>d’une</w:t>
      </w:r>
      <w:proofErr w:type="spellEnd"/>
      <w:r w:rsidRPr="0070049F">
        <w:t xml:space="preserve"> construction </w:t>
      </w:r>
      <w:proofErr w:type="spellStart"/>
      <w:r w:rsidRPr="0070049F">
        <w:t>en</w:t>
      </w:r>
      <w:proofErr w:type="spellEnd"/>
      <w:r w:rsidRPr="0070049F">
        <w:t xml:space="preserve"> sous-sol</w:t>
      </w:r>
    </w:p>
    <w:p w14:paraId="5C557F0C" w14:textId="79297D48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Toute construction en sous-sol doit respecter les reculs réglementaires applicables à la construction</w:t>
      </w:r>
      <w:r>
        <w:rPr>
          <w:lang w:val="fr-LU"/>
        </w:rPr>
        <w:t xml:space="preserve"> </w:t>
      </w:r>
      <w:r w:rsidRPr="0070049F">
        <w:rPr>
          <w:lang w:val="fr-LU"/>
        </w:rPr>
        <w:t>principale hors-sol.</w:t>
      </w:r>
    </w:p>
    <w:p w14:paraId="56F7CFA4" w14:textId="5C87FCAA" w:rsidR="0070049F" w:rsidRPr="0070049F" w:rsidRDefault="0070049F" w:rsidP="0070049F">
      <w:pPr>
        <w:pStyle w:val="Heading2"/>
      </w:pPr>
      <w:r w:rsidRPr="0070049F">
        <w:t xml:space="preserve">Art. 1.4 </w:t>
      </w:r>
      <w:proofErr w:type="spellStart"/>
      <w:r w:rsidRPr="0070049F">
        <w:t>Nombre</w:t>
      </w:r>
      <w:proofErr w:type="spellEnd"/>
      <w:r w:rsidRPr="0070049F">
        <w:t xml:space="preserve"> de </w:t>
      </w:r>
      <w:proofErr w:type="spellStart"/>
      <w:r w:rsidRPr="0070049F">
        <w:t>niveaux</w:t>
      </w:r>
      <w:proofErr w:type="spellEnd"/>
      <w:r w:rsidRPr="0070049F">
        <w:t xml:space="preserve"> hors-sol </w:t>
      </w:r>
      <w:proofErr w:type="gramStart"/>
      <w:r w:rsidRPr="0070049F">
        <w:t>et</w:t>
      </w:r>
      <w:proofErr w:type="gramEnd"/>
      <w:r w:rsidRPr="0070049F">
        <w:t xml:space="preserve"> sous-sol</w:t>
      </w:r>
    </w:p>
    <w:p w14:paraId="35A0BF84" w14:textId="39D38F81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Le nombre admissible de niveaux pleins hors-sol pour une construction principale est de 2 niveaux,</w:t>
      </w:r>
      <w:r>
        <w:rPr>
          <w:lang w:val="fr-LU"/>
        </w:rPr>
        <w:t xml:space="preserve"> </w:t>
      </w:r>
      <w:r w:rsidRPr="0070049F">
        <w:rPr>
          <w:lang w:val="fr-LU"/>
        </w:rPr>
        <w:t>soit 1 au rez-de-chaussée et 1 à l’étage.</w:t>
      </w:r>
    </w:p>
    <w:p w14:paraId="220AB176" w14:textId="01F98EFE" w:rsidR="00B5669C" w:rsidRDefault="0070049F" w:rsidP="0070049F">
      <w:pPr>
        <w:rPr>
          <w:lang w:val="fr-LU"/>
        </w:rPr>
      </w:pPr>
      <w:r w:rsidRPr="0070049F">
        <w:rPr>
          <w:lang w:val="fr-LU"/>
        </w:rPr>
        <w:t>1 niveau supplémentaire peut être réalisé dans les combles (C) d’une toiture à pentes ou comme</w:t>
      </w:r>
      <w:r>
        <w:rPr>
          <w:lang w:val="fr-LU"/>
        </w:rPr>
        <w:t xml:space="preserve"> </w:t>
      </w:r>
      <w:r w:rsidRPr="0070049F">
        <w:rPr>
          <w:lang w:val="fr-LU"/>
        </w:rPr>
        <w:t>étage en retrait (R) dans le cas d’une toiture plate.</w:t>
      </w:r>
    </w:p>
    <w:p w14:paraId="0548BB75" w14:textId="70ECE533" w:rsidR="0070049F" w:rsidRDefault="0070049F" w:rsidP="0070049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1C8587C5" wp14:editId="49B647CA">
            <wp:extent cx="3505200" cy="1066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1C70B" w14:textId="20F97553" w:rsidR="0070049F" w:rsidRDefault="0070049F" w:rsidP="0070049F">
      <w:pPr>
        <w:rPr>
          <w:lang w:val="fr-LU"/>
        </w:rPr>
      </w:pPr>
    </w:p>
    <w:p w14:paraId="2AFAA504" w14:textId="77777777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Il peut être ajouté au maximum 1 sous-sol (SS) au nombre de niveaux pleins admissibles.</w:t>
      </w:r>
    </w:p>
    <w:p w14:paraId="4FB2B092" w14:textId="442D3716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L’étage en retrait d’une toiture plate doit se situer dans le gabarit maximal théorique d’une toiture à</w:t>
      </w:r>
      <w:r>
        <w:rPr>
          <w:lang w:val="fr-LU"/>
        </w:rPr>
        <w:t xml:space="preserve"> </w:t>
      </w:r>
      <w:r w:rsidRPr="0070049F">
        <w:rPr>
          <w:lang w:val="fr-LU"/>
        </w:rPr>
        <w:t>pentes.</w:t>
      </w:r>
    </w:p>
    <w:p w14:paraId="0246CD91" w14:textId="78C85990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lastRenderedPageBreak/>
        <w:t>Aux endroits où le raccordement gravitaire au réseau d’assainissement n’est pas possible et le</w:t>
      </w:r>
      <w:r>
        <w:rPr>
          <w:lang w:val="fr-LU"/>
        </w:rPr>
        <w:t xml:space="preserve"> </w:t>
      </w:r>
      <w:r w:rsidRPr="0070049F">
        <w:rPr>
          <w:lang w:val="fr-LU"/>
        </w:rPr>
        <w:t>recouvrement du canal est inférieur à 2,50 mètres, le sous-sol est à réaliser comme cuve étanche avec</w:t>
      </w:r>
      <w:r>
        <w:rPr>
          <w:lang w:val="fr-LU"/>
        </w:rPr>
        <w:t xml:space="preserve"> </w:t>
      </w:r>
      <w:r w:rsidRPr="0070049F">
        <w:rPr>
          <w:lang w:val="fr-LU"/>
        </w:rPr>
        <w:t>pompe.</w:t>
      </w:r>
    </w:p>
    <w:p w14:paraId="7148F0BD" w14:textId="719B9B4C" w:rsidR="0070049F" w:rsidRPr="0070049F" w:rsidRDefault="0070049F" w:rsidP="0070049F">
      <w:pPr>
        <w:pStyle w:val="Heading2"/>
        <w:rPr>
          <w:lang w:val="fr-LU"/>
        </w:rPr>
      </w:pPr>
      <w:r>
        <w:rPr>
          <w:lang w:val="fr-LU"/>
        </w:rPr>
        <w:t xml:space="preserve">Art. 1.5 </w:t>
      </w:r>
      <w:r w:rsidRPr="0070049F">
        <w:rPr>
          <w:lang w:val="fr-LU"/>
        </w:rPr>
        <w:t>Hauteur des constructions principales</w:t>
      </w:r>
    </w:p>
    <w:p w14:paraId="1648844B" w14:textId="470B98B6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La hauteur admissible des c</w:t>
      </w:r>
      <w:r>
        <w:rPr>
          <w:lang w:val="fr-LU"/>
        </w:rPr>
        <w:t>onstructions principales est de</w:t>
      </w:r>
      <w:r w:rsidRPr="0070049F">
        <w:rPr>
          <w:lang w:val="fr-LU"/>
        </w:rPr>
        <w:t>:</w:t>
      </w:r>
    </w:p>
    <w:p w14:paraId="27340EDB" w14:textId="77777777" w:rsidR="0070049F" w:rsidRDefault="0070049F" w:rsidP="0070049F">
      <w:pPr>
        <w:pStyle w:val="ListParagraph"/>
        <w:numPr>
          <w:ilvl w:val="0"/>
          <w:numId w:val="9"/>
        </w:numPr>
        <w:rPr>
          <w:lang w:val="fr-LU"/>
        </w:rPr>
      </w:pPr>
      <w:r w:rsidRPr="0070049F">
        <w:rPr>
          <w:lang w:val="fr-LU"/>
        </w:rPr>
        <w:t>Pour une toiture à pente</w:t>
      </w:r>
    </w:p>
    <w:p w14:paraId="590134C1" w14:textId="77777777" w:rsidR="0070049F" w:rsidRDefault="0070049F" w:rsidP="0070049F">
      <w:pPr>
        <w:pStyle w:val="ListParagraph"/>
        <w:numPr>
          <w:ilvl w:val="1"/>
          <w:numId w:val="9"/>
        </w:numPr>
        <w:rPr>
          <w:lang w:val="fr-LU"/>
        </w:rPr>
      </w:pPr>
      <w:proofErr w:type="gramStart"/>
      <w:r w:rsidRPr="0070049F">
        <w:rPr>
          <w:lang w:val="fr-LU"/>
        </w:rPr>
        <w:t>maximum</w:t>
      </w:r>
      <w:proofErr w:type="gramEnd"/>
      <w:r w:rsidRPr="0070049F">
        <w:rPr>
          <w:lang w:val="fr-LU"/>
        </w:rPr>
        <w:t xml:space="preserve"> 7,00 mètres à la corniche</w:t>
      </w:r>
    </w:p>
    <w:p w14:paraId="0F5CCC19" w14:textId="02A397BF" w:rsidR="0070049F" w:rsidRPr="0070049F" w:rsidRDefault="0070049F" w:rsidP="0070049F">
      <w:pPr>
        <w:pStyle w:val="ListParagraph"/>
        <w:numPr>
          <w:ilvl w:val="1"/>
          <w:numId w:val="9"/>
        </w:numPr>
        <w:rPr>
          <w:lang w:val="fr-LU"/>
        </w:rPr>
      </w:pPr>
      <w:proofErr w:type="gramStart"/>
      <w:r w:rsidRPr="0070049F">
        <w:rPr>
          <w:lang w:val="fr-LU"/>
        </w:rPr>
        <w:t>maximum</w:t>
      </w:r>
      <w:proofErr w:type="gramEnd"/>
      <w:r w:rsidRPr="0070049F">
        <w:rPr>
          <w:lang w:val="fr-LU"/>
        </w:rPr>
        <w:t xml:space="preserve"> 11,75 mètres au faîtage</w:t>
      </w:r>
    </w:p>
    <w:p w14:paraId="5A8ABFE1" w14:textId="77777777" w:rsidR="0070049F" w:rsidRDefault="0070049F" w:rsidP="0070049F">
      <w:pPr>
        <w:pStyle w:val="ListParagraph"/>
        <w:numPr>
          <w:ilvl w:val="0"/>
          <w:numId w:val="9"/>
        </w:numPr>
        <w:rPr>
          <w:lang w:val="fr-LU"/>
        </w:rPr>
      </w:pPr>
      <w:r w:rsidRPr="0070049F">
        <w:rPr>
          <w:lang w:val="fr-LU"/>
        </w:rPr>
        <w:t>Pour une toiture plate</w:t>
      </w:r>
    </w:p>
    <w:p w14:paraId="1D16A4B5" w14:textId="66761183" w:rsidR="0070049F" w:rsidRPr="0070049F" w:rsidRDefault="0070049F" w:rsidP="0070049F">
      <w:pPr>
        <w:pStyle w:val="ListParagraph"/>
        <w:numPr>
          <w:ilvl w:val="1"/>
          <w:numId w:val="9"/>
        </w:numPr>
        <w:rPr>
          <w:lang w:val="fr-LU"/>
        </w:rPr>
      </w:pPr>
      <w:proofErr w:type="gramStart"/>
      <w:r w:rsidRPr="0070049F">
        <w:rPr>
          <w:lang w:val="fr-LU"/>
        </w:rPr>
        <w:t>maximum</w:t>
      </w:r>
      <w:proofErr w:type="gramEnd"/>
      <w:r w:rsidRPr="0070049F">
        <w:rPr>
          <w:lang w:val="fr-LU"/>
        </w:rPr>
        <w:t xml:space="preserve"> 7,00 mètres à l’acrotère du dernier niveau plein</w:t>
      </w:r>
    </w:p>
    <w:p w14:paraId="08E90185" w14:textId="4D0684D0" w:rsidR="0070049F" w:rsidRDefault="0070049F" w:rsidP="0070049F">
      <w:pPr>
        <w:jc w:val="center"/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 wp14:anchorId="04EB3875" wp14:editId="597DDFFB">
            <wp:extent cx="5731510" cy="129984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1F73B" w14:textId="77777777" w:rsidR="0070049F" w:rsidRDefault="0070049F" w:rsidP="0070049F">
      <w:pPr>
        <w:rPr>
          <w:lang w:val="fr-LU"/>
        </w:rPr>
      </w:pPr>
    </w:p>
    <w:p w14:paraId="63516E16" w14:textId="6F357904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Dans le cas d’une construction principale à accoler à une construction existante, la hauteur de la</w:t>
      </w:r>
      <w:r>
        <w:rPr>
          <w:lang w:val="fr-LU"/>
        </w:rPr>
        <w:t xml:space="preserve"> </w:t>
      </w:r>
      <w:r w:rsidRPr="0070049F">
        <w:rPr>
          <w:lang w:val="fr-LU"/>
        </w:rPr>
        <w:t>nouvelle construction est à aligner à la hauteur de la construction existante adjacente.</w:t>
      </w:r>
    </w:p>
    <w:p w14:paraId="21FBC2C5" w14:textId="40051518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Le niveau du rez-de-chaussée est de maximum 0,75 mètre par rapport à la côte de l’axe de la voie</w:t>
      </w:r>
      <w:r>
        <w:rPr>
          <w:lang w:val="fr-LU"/>
        </w:rPr>
        <w:t xml:space="preserve"> </w:t>
      </w:r>
      <w:proofErr w:type="spellStart"/>
      <w:r w:rsidRPr="0070049F">
        <w:rPr>
          <w:lang w:val="fr-LU"/>
        </w:rPr>
        <w:t>desservante</w:t>
      </w:r>
      <w:proofErr w:type="spellEnd"/>
      <w:r w:rsidRPr="0070049F">
        <w:rPr>
          <w:lang w:val="fr-LU"/>
        </w:rPr>
        <w:t>. Si le rez-de-chaussée présente plusieurs niveaux, le niveau du plancher le plus élevé sera</w:t>
      </w:r>
      <w:r>
        <w:rPr>
          <w:lang w:val="fr-LU"/>
        </w:rPr>
        <w:t xml:space="preserve"> </w:t>
      </w:r>
      <w:r w:rsidRPr="0070049F">
        <w:rPr>
          <w:lang w:val="fr-LU"/>
        </w:rPr>
        <w:t>la référence.</w:t>
      </w:r>
    </w:p>
    <w:p w14:paraId="526BD68F" w14:textId="4B272117" w:rsidR="0070049F" w:rsidRPr="0070049F" w:rsidRDefault="0070049F" w:rsidP="0070049F">
      <w:pPr>
        <w:pStyle w:val="Heading2"/>
        <w:rPr>
          <w:lang w:val="fr-LU"/>
        </w:rPr>
      </w:pPr>
      <w:r>
        <w:rPr>
          <w:lang w:val="fr-LU"/>
        </w:rPr>
        <w:t xml:space="preserve">Art. 1.6 </w:t>
      </w:r>
      <w:r w:rsidRPr="0070049F">
        <w:rPr>
          <w:lang w:val="fr-LU"/>
        </w:rPr>
        <w:t>Nombre d’unités de logement</w:t>
      </w:r>
    </w:p>
    <w:p w14:paraId="0A284FB0" w14:textId="5D050FDD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Le nombre d’unités de logement par bâtiment est limité à 2, excepté pour les constructions en bande.</w:t>
      </w:r>
      <w:r>
        <w:rPr>
          <w:lang w:val="fr-LU"/>
        </w:rPr>
        <w:t xml:space="preserve"> </w:t>
      </w:r>
      <w:r w:rsidRPr="0070049F">
        <w:rPr>
          <w:lang w:val="fr-LU"/>
        </w:rPr>
        <w:t>Chaque construction en bande doit être de type unifamilial.</w:t>
      </w:r>
    </w:p>
    <w:p w14:paraId="4785D2ED" w14:textId="77777777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Les maisons unifamiliales avec logement intégré sont autorisées.</w:t>
      </w:r>
    </w:p>
    <w:p w14:paraId="73F9AC94" w14:textId="77777777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Le nombre d’unités de logement dans les constructions existantes peut être maintenu.</w:t>
      </w:r>
    </w:p>
    <w:p w14:paraId="4C5EABD7" w14:textId="2D751C23" w:rsidR="0070049F" w:rsidRPr="0070049F" w:rsidRDefault="0070049F" w:rsidP="0070049F">
      <w:pPr>
        <w:pStyle w:val="Heading2"/>
        <w:rPr>
          <w:lang w:val="fr-LU"/>
        </w:rPr>
      </w:pPr>
      <w:r>
        <w:rPr>
          <w:lang w:val="fr-LU"/>
        </w:rPr>
        <w:t xml:space="preserve">Art. 1.7 </w:t>
      </w:r>
      <w:r w:rsidRPr="0070049F">
        <w:rPr>
          <w:lang w:val="fr-LU"/>
        </w:rPr>
        <w:t>Emplacements de stationnement</w:t>
      </w:r>
    </w:p>
    <w:p w14:paraId="13D9698E" w14:textId="1C8C6FDD" w:rsidR="0070049F" w:rsidRDefault="0070049F" w:rsidP="0070049F">
      <w:pPr>
        <w:rPr>
          <w:lang w:val="fr-LU"/>
        </w:rPr>
      </w:pPr>
      <w:r w:rsidRPr="0070049F">
        <w:rPr>
          <w:lang w:val="fr-LU"/>
        </w:rPr>
        <w:t>Le nombre d’emplacements de stationnement requis est repris dans la partie écrite du PAG.</w:t>
      </w:r>
    </w:p>
    <w:p w14:paraId="311AB47D" w14:textId="77777777" w:rsidR="0070049F" w:rsidRDefault="0070049F" w:rsidP="0070049F">
      <w:pPr>
        <w:rPr>
          <w:lang w:val="fr-LU"/>
        </w:rPr>
      </w:pPr>
      <w:r w:rsidRPr="0070049F">
        <w:rPr>
          <w:lang w:val="fr-LU"/>
        </w:rPr>
        <w:t>Parmi les emplacements requis pour le logement au moins un emplacement par unité de logement</w:t>
      </w:r>
      <w:r>
        <w:rPr>
          <w:lang w:val="fr-LU"/>
        </w:rPr>
        <w:t xml:space="preserve"> </w:t>
      </w:r>
      <w:r w:rsidRPr="0070049F">
        <w:rPr>
          <w:lang w:val="fr-LU"/>
        </w:rPr>
        <w:t xml:space="preserve">doit être couvert. Les </w:t>
      </w:r>
      <w:proofErr w:type="spellStart"/>
      <w:r w:rsidRPr="0070049F">
        <w:rPr>
          <w:lang w:val="fr-LU"/>
        </w:rPr>
        <w:t>carports</w:t>
      </w:r>
      <w:proofErr w:type="spellEnd"/>
      <w:r w:rsidRPr="0070049F">
        <w:rPr>
          <w:lang w:val="fr-LU"/>
        </w:rPr>
        <w:t xml:space="preserve"> peuvent être considérés comme emplacements couverts.</w:t>
      </w:r>
    </w:p>
    <w:p w14:paraId="2187CE08" w14:textId="328C6BD5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En cas de présence d’une bande de stationnement le long du terrain, la largeur de l’accès carrossable</w:t>
      </w:r>
      <w:r>
        <w:rPr>
          <w:lang w:val="fr-LU"/>
        </w:rPr>
        <w:t xml:space="preserve"> </w:t>
      </w:r>
      <w:r w:rsidRPr="0070049F">
        <w:rPr>
          <w:lang w:val="fr-LU"/>
        </w:rPr>
        <w:t>à la voie publique est de maximum 5,00 mètres.</w:t>
      </w:r>
    </w:p>
    <w:p w14:paraId="71F7D781" w14:textId="13F4008E" w:rsidR="0070049F" w:rsidRPr="0070049F" w:rsidRDefault="0070049F" w:rsidP="0070049F">
      <w:pPr>
        <w:pStyle w:val="Heading2"/>
        <w:rPr>
          <w:lang w:val="fr-LU"/>
        </w:rPr>
      </w:pPr>
      <w:r>
        <w:rPr>
          <w:lang w:val="fr-LU"/>
        </w:rPr>
        <w:t xml:space="preserve">Art. 1.8 </w:t>
      </w:r>
      <w:r w:rsidRPr="0070049F">
        <w:rPr>
          <w:lang w:val="fr-LU"/>
        </w:rPr>
        <w:t>Dimensions de la façade principale</w:t>
      </w:r>
    </w:p>
    <w:p w14:paraId="4C135E75" w14:textId="53652225" w:rsidR="0070049F" w:rsidRPr="0070049F" w:rsidRDefault="0070049F" w:rsidP="0070049F">
      <w:pPr>
        <w:rPr>
          <w:lang w:val="fr-LU"/>
        </w:rPr>
      </w:pPr>
      <w:r w:rsidRPr="0070049F">
        <w:rPr>
          <w:lang w:val="fr-LU"/>
        </w:rPr>
        <w:t>La longueur</w:t>
      </w:r>
      <w:r>
        <w:rPr>
          <w:lang w:val="fr-LU"/>
        </w:rPr>
        <w:t xml:space="preserve"> de la façade principale est de</w:t>
      </w:r>
      <w:r w:rsidRPr="0070049F">
        <w:rPr>
          <w:lang w:val="fr-LU"/>
        </w:rPr>
        <w:t>:</w:t>
      </w:r>
    </w:p>
    <w:p w14:paraId="77F775DD" w14:textId="77777777" w:rsidR="0070049F" w:rsidRDefault="0070049F" w:rsidP="0070049F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0049F">
        <w:rPr>
          <w:lang w:val="fr-LU"/>
        </w:rPr>
        <w:lastRenderedPageBreak/>
        <w:t>minimum</w:t>
      </w:r>
      <w:proofErr w:type="gramEnd"/>
      <w:r w:rsidRPr="0070049F">
        <w:rPr>
          <w:lang w:val="fr-LU"/>
        </w:rPr>
        <w:t xml:space="preserve"> 7,50 mètres</w:t>
      </w:r>
    </w:p>
    <w:p w14:paraId="21DFE2EB" w14:textId="2E185EBE" w:rsidR="0070049F" w:rsidRPr="0070049F" w:rsidRDefault="0070049F" w:rsidP="0070049F">
      <w:pPr>
        <w:pStyle w:val="ListParagraph"/>
        <w:numPr>
          <w:ilvl w:val="0"/>
          <w:numId w:val="10"/>
        </w:numPr>
        <w:rPr>
          <w:lang w:val="fr-LU"/>
        </w:rPr>
      </w:pPr>
      <w:proofErr w:type="gramStart"/>
      <w:r w:rsidRPr="0070049F">
        <w:rPr>
          <w:lang w:val="fr-LU"/>
        </w:rPr>
        <w:t>maximum</w:t>
      </w:r>
      <w:proofErr w:type="gramEnd"/>
      <w:r w:rsidRPr="0070049F">
        <w:rPr>
          <w:lang w:val="fr-LU"/>
        </w:rPr>
        <w:t xml:space="preserve"> 20,00 mètres</w:t>
      </w:r>
    </w:p>
    <w:p w14:paraId="52AC2283" w14:textId="25111449" w:rsidR="0070049F" w:rsidRPr="00B5669C" w:rsidRDefault="0070049F" w:rsidP="0070049F">
      <w:pPr>
        <w:rPr>
          <w:lang w:val="fr-LU"/>
        </w:rPr>
      </w:pPr>
      <w:r w:rsidRPr="0070049F">
        <w:rPr>
          <w:lang w:val="fr-LU"/>
        </w:rPr>
        <w:t>Elle est calculée au niveau du rez-de-chaussée.</w:t>
      </w:r>
      <w:bookmarkStart w:id="0" w:name="_GoBack"/>
      <w:bookmarkEnd w:id="0"/>
    </w:p>
    <w:sectPr w:rsidR="0070049F" w:rsidRPr="00B566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A54FD"/>
    <w:multiLevelType w:val="hybridMultilevel"/>
    <w:tmpl w:val="BEC64CF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143A06"/>
    <w:multiLevelType w:val="hybridMultilevel"/>
    <w:tmpl w:val="8C38C7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85B84"/>
    <w:multiLevelType w:val="hybridMultilevel"/>
    <w:tmpl w:val="1DE8B40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23263C"/>
    <w:multiLevelType w:val="hybridMultilevel"/>
    <w:tmpl w:val="D6D088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D1021"/>
    <w:rsid w:val="005D1D9B"/>
    <w:rsid w:val="006605E2"/>
    <w:rsid w:val="006653E2"/>
    <w:rsid w:val="0070049F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5669C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1063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2021-09-17T09:14:00Z</dcterms:modified>
</cp:coreProperties>
</file>