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3EAD2" w14:textId="58507D2A" w:rsidR="00847479" w:rsidRPr="00847479" w:rsidRDefault="00847479" w:rsidP="00847479">
      <w:pPr>
        <w:pStyle w:val="Heading1"/>
        <w:rPr>
          <w:lang w:val="fr-FR"/>
        </w:rPr>
      </w:pPr>
      <w:r w:rsidRPr="00847479">
        <w:rPr>
          <w:lang w:val="fr-FR"/>
        </w:rPr>
        <w:t xml:space="preserve">Art. 5 </w:t>
      </w:r>
      <w:r w:rsidRPr="00847479">
        <w:rPr>
          <w:lang w:val="fr-FR"/>
        </w:rPr>
        <w:t>PAP QE - Zone d’activités économiques communale de type 1 -</w:t>
      </w:r>
      <w:r w:rsidRPr="00847479">
        <w:rPr>
          <w:lang w:val="fr-FR"/>
        </w:rPr>
        <w:t xml:space="preserve"> </w:t>
      </w:r>
      <w:r w:rsidRPr="00847479">
        <w:rPr>
          <w:lang w:val="fr-FR"/>
        </w:rPr>
        <w:t>(ECO-c1)</w:t>
      </w:r>
    </w:p>
    <w:p w14:paraId="1B88AB1C" w14:textId="44795593" w:rsidR="00847479" w:rsidRPr="00847479" w:rsidRDefault="00847479" w:rsidP="00847479">
      <w:pPr>
        <w:rPr>
          <w:lang w:val="fr-FR"/>
        </w:rPr>
      </w:pPr>
      <w:r w:rsidRPr="00847479">
        <w:rPr>
          <w:lang w:val="fr-FR"/>
        </w:rPr>
        <w:t>Au niveau des zones ECO-c1, une distance de minimum 15 m est à respecter par rapport aux</w:t>
      </w:r>
      <w:r w:rsidRPr="00847479">
        <w:rPr>
          <w:lang w:val="fr-FR"/>
        </w:rPr>
        <w:t xml:space="preserve"> </w:t>
      </w:r>
      <w:r w:rsidRPr="00847479">
        <w:rPr>
          <w:lang w:val="fr-FR"/>
        </w:rPr>
        <w:t>berges d’un cours d’eau pour les bâtiments et les zones aménagées sous forme de cour ou de</w:t>
      </w:r>
      <w:r>
        <w:rPr>
          <w:lang w:val="fr-FR"/>
        </w:rPr>
        <w:t xml:space="preserve"> </w:t>
      </w:r>
      <w:r w:rsidRPr="00847479">
        <w:rPr>
          <w:lang w:val="fr-FR"/>
        </w:rPr>
        <w:t>stockage.</w:t>
      </w:r>
    </w:p>
    <w:p w14:paraId="3E264F64" w14:textId="6C781BC7" w:rsidR="00847479" w:rsidRPr="00847479" w:rsidRDefault="00847479" w:rsidP="00847479">
      <w:pPr>
        <w:rPr>
          <w:lang w:val="fr-FR"/>
        </w:rPr>
      </w:pPr>
      <w:r w:rsidRPr="00847479">
        <w:rPr>
          <w:lang w:val="fr-FR"/>
        </w:rPr>
        <w:t>En ce qui concerne l’évacuation des eaux usées et des eaux de pluie, un calcul des débits est à</w:t>
      </w:r>
      <w:r>
        <w:rPr>
          <w:lang w:val="fr-FR"/>
        </w:rPr>
        <w:t xml:space="preserve"> </w:t>
      </w:r>
      <w:r w:rsidRPr="00847479">
        <w:rPr>
          <w:lang w:val="fr-FR"/>
        </w:rPr>
        <w:t>établir et à joindre au dossier d’autorisation. L’Administration Communale renseignera les quantités</w:t>
      </w:r>
      <w:r>
        <w:rPr>
          <w:lang w:val="fr-FR"/>
        </w:rPr>
        <w:t xml:space="preserve"> </w:t>
      </w:r>
      <w:r w:rsidRPr="00847479">
        <w:rPr>
          <w:lang w:val="fr-FR"/>
        </w:rPr>
        <w:t>d’écoulement maximales à respecter, suivant la capacité du réseau public existant. Le projet devra</w:t>
      </w:r>
      <w:r>
        <w:rPr>
          <w:lang w:val="fr-FR"/>
        </w:rPr>
        <w:t xml:space="preserve"> </w:t>
      </w:r>
      <w:r w:rsidRPr="00847479">
        <w:rPr>
          <w:lang w:val="fr-FR"/>
        </w:rPr>
        <w:t>prévoir les mesures nécessaires en conséquence, permettant de respecter les valeurs maximales à</w:t>
      </w:r>
      <w:r>
        <w:rPr>
          <w:lang w:val="fr-FR"/>
        </w:rPr>
        <w:t xml:space="preserve"> </w:t>
      </w:r>
      <w:r w:rsidRPr="00847479">
        <w:rPr>
          <w:lang w:val="fr-FR"/>
        </w:rPr>
        <w:t>respecter.</w:t>
      </w:r>
    </w:p>
    <w:p w14:paraId="1CBF7842" w14:textId="1C140012" w:rsidR="00847479" w:rsidRPr="00847479" w:rsidRDefault="00847479" w:rsidP="00847479">
      <w:pPr>
        <w:rPr>
          <w:lang w:val="fr-FR"/>
        </w:rPr>
      </w:pPr>
      <w:r w:rsidRPr="00847479">
        <w:rPr>
          <w:lang w:val="fr-FR"/>
        </w:rPr>
        <w:t>Des mesures d’intégration et/ou d’atténuation du bruit sont à prévoir en fonction de l’activité exercée</w:t>
      </w:r>
      <w:r>
        <w:rPr>
          <w:lang w:val="fr-FR"/>
        </w:rPr>
        <w:t xml:space="preserve"> </w:t>
      </w:r>
      <w:r w:rsidRPr="00847479">
        <w:rPr>
          <w:lang w:val="fr-FR"/>
        </w:rPr>
        <w:t xml:space="preserve">et des dispositions réglementaires en vigueur. Il s’agit </w:t>
      </w:r>
      <w:r>
        <w:rPr>
          <w:lang w:val="fr-FR"/>
        </w:rPr>
        <w:t>notamment des mesures suivantes</w:t>
      </w:r>
      <w:r w:rsidRPr="00847479">
        <w:rPr>
          <w:lang w:val="fr-FR"/>
        </w:rPr>
        <w:t>:</w:t>
      </w:r>
    </w:p>
    <w:p w14:paraId="37CB607D" w14:textId="77777777" w:rsidR="00847479" w:rsidRDefault="00847479" w:rsidP="00847479">
      <w:pPr>
        <w:pStyle w:val="ListParagraph"/>
        <w:numPr>
          <w:ilvl w:val="0"/>
          <w:numId w:val="7"/>
        </w:numPr>
        <w:rPr>
          <w:lang w:val="fr-FR"/>
        </w:rPr>
      </w:pPr>
      <w:r w:rsidRPr="00847479">
        <w:rPr>
          <w:lang w:val="fr-FR"/>
        </w:rPr>
        <w:t>La plantation d’une haie sur la limite de propriété,</w:t>
      </w:r>
    </w:p>
    <w:p w14:paraId="5D82D10F" w14:textId="77777777" w:rsidR="00847479" w:rsidRDefault="00847479" w:rsidP="00847479">
      <w:pPr>
        <w:pStyle w:val="ListParagraph"/>
        <w:numPr>
          <w:ilvl w:val="0"/>
          <w:numId w:val="7"/>
        </w:numPr>
        <w:rPr>
          <w:lang w:val="fr-FR"/>
        </w:rPr>
      </w:pPr>
      <w:r w:rsidRPr="00847479">
        <w:rPr>
          <w:lang w:val="fr-FR"/>
        </w:rPr>
        <w:t>La réalisation d’une clôture en supplément de la haie à planter,</w:t>
      </w:r>
    </w:p>
    <w:p w14:paraId="3218EE37" w14:textId="3114AB54" w:rsidR="00847479" w:rsidRPr="00847479" w:rsidRDefault="00847479" w:rsidP="00630A4F">
      <w:pPr>
        <w:pStyle w:val="ListParagraph"/>
        <w:numPr>
          <w:ilvl w:val="0"/>
          <w:numId w:val="7"/>
        </w:numPr>
        <w:rPr>
          <w:lang w:val="fr-FR"/>
        </w:rPr>
      </w:pPr>
      <w:r w:rsidRPr="00847479">
        <w:rPr>
          <w:lang w:val="fr-FR"/>
        </w:rPr>
        <w:t>La plantation d’un écran de verdure par des bosquets champêtres (</w:t>
      </w:r>
      <w:r>
        <w:rPr>
          <w:lang w:val="fr-FR"/>
        </w:rPr>
        <w:t>« </w:t>
      </w:r>
      <w:proofErr w:type="spellStart"/>
      <w:r w:rsidRPr="00847479">
        <w:rPr>
          <w:lang w:val="fr-FR"/>
        </w:rPr>
        <w:t>starke</w:t>
      </w:r>
      <w:proofErr w:type="spellEnd"/>
      <w:r>
        <w:rPr>
          <w:lang w:val="fr-FR"/>
        </w:rPr>
        <w:t xml:space="preserve"> </w:t>
      </w:r>
      <w:proofErr w:type="spellStart"/>
      <w:r w:rsidRPr="00847479">
        <w:rPr>
          <w:lang w:val="fr-FR"/>
        </w:rPr>
        <w:t>Randeingrünung</w:t>
      </w:r>
      <w:proofErr w:type="spellEnd"/>
      <w:r>
        <w:rPr>
          <w:lang w:val="fr-FR"/>
        </w:rPr>
        <w:t> »</w:t>
      </w:r>
      <w:r w:rsidRPr="00847479">
        <w:rPr>
          <w:lang w:val="fr-FR"/>
        </w:rPr>
        <w:t>) formant un espace tampon par rapport au voisinage.</w:t>
      </w:r>
    </w:p>
    <w:p w14:paraId="017770C0" w14:textId="1BBFA18A" w:rsidR="00847479" w:rsidRPr="00847479" w:rsidRDefault="00847479" w:rsidP="00847479">
      <w:pPr>
        <w:pStyle w:val="Heading2"/>
        <w:rPr>
          <w:lang w:val="fr-FR"/>
        </w:rPr>
      </w:pPr>
      <w:r>
        <w:rPr>
          <w:lang w:val="fr-FR"/>
        </w:rPr>
        <w:t xml:space="preserve">Art. 5.1 </w:t>
      </w:r>
      <w:r w:rsidRPr="00847479">
        <w:rPr>
          <w:lang w:val="fr-FR"/>
        </w:rPr>
        <w:t>Implantation des constructions et reculs</w:t>
      </w:r>
    </w:p>
    <w:p w14:paraId="075C732F" w14:textId="4CB21BB5" w:rsidR="00847479" w:rsidRPr="00847479" w:rsidRDefault="00847479" w:rsidP="00847479">
      <w:pPr>
        <w:rPr>
          <w:lang w:val="fr-FR"/>
        </w:rPr>
      </w:pPr>
      <w:r w:rsidRPr="00847479">
        <w:rPr>
          <w:lang w:val="fr-FR"/>
        </w:rPr>
        <w:t>L’implantation des bâtiments doit se faire de manière à permettre la réalisation d’un passage</w:t>
      </w:r>
      <w:r>
        <w:rPr>
          <w:lang w:val="fr-FR"/>
        </w:rPr>
        <w:t xml:space="preserve"> </w:t>
      </w:r>
      <w:r w:rsidRPr="00847479">
        <w:rPr>
          <w:lang w:val="fr-FR"/>
        </w:rPr>
        <w:t>carrossable d’une largeur libre de 5 m afin d’accéder au fond de la parcelle.</w:t>
      </w:r>
    </w:p>
    <w:p w14:paraId="690459FD" w14:textId="261DCFDC" w:rsidR="00847479" w:rsidRPr="00847479" w:rsidRDefault="00847479" w:rsidP="00847479">
      <w:pPr>
        <w:rPr>
          <w:lang w:val="fr-FR"/>
        </w:rPr>
      </w:pPr>
      <w:r w:rsidRPr="00847479">
        <w:rPr>
          <w:lang w:val="fr-FR"/>
        </w:rPr>
        <w:t>Une surface libre égale à minimum un dixième de la parcelle doit être aménagée comme espace</w:t>
      </w:r>
      <w:r>
        <w:rPr>
          <w:lang w:val="fr-FR"/>
        </w:rPr>
        <w:t xml:space="preserve"> </w:t>
      </w:r>
      <w:r w:rsidRPr="00847479">
        <w:rPr>
          <w:lang w:val="fr-FR"/>
        </w:rPr>
        <w:t>vert. Cette surface plantée ne peut en aucun cas être utilisée comme dépôt de matériaux, ni comme</w:t>
      </w:r>
      <w:r>
        <w:rPr>
          <w:lang w:val="fr-FR"/>
        </w:rPr>
        <w:t xml:space="preserve"> </w:t>
      </w:r>
      <w:r w:rsidRPr="00847479">
        <w:rPr>
          <w:lang w:val="fr-FR"/>
        </w:rPr>
        <w:t>places de stationnement.</w:t>
      </w:r>
    </w:p>
    <w:p w14:paraId="66FD404F" w14:textId="27911B35" w:rsidR="00847479" w:rsidRPr="00847479" w:rsidRDefault="00847479" w:rsidP="00847479">
      <w:pPr>
        <w:rPr>
          <w:u w:val="single"/>
          <w:lang w:val="fr-FR"/>
        </w:rPr>
      </w:pPr>
      <w:r w:rsidRPr="00847479">
        <w:rPr>
          <w:u w:val="single"/>
          <w:lang w:val="fr-FR"/>
        </w:rPr>
        <w:t>Recul avant</w:t>
      </w:r>
      <w:r w:rsidRPr="00847479">
        <w:rPr>
          <w:u w:val="single"/>
          <w:lang w:val="fr-FR"/>
        </w:rPr>
        <w:t>:</w:t>
      </w:r>
    </w:p>
    <w:p w14:paraId="1C990B24" w14:textId="527DD0E9" w:rsidR="00847479" w:rsidRPr="00847479" w:rsidRDefault="00847479" w:rsidP="00847479">
      <w:pPr>
        <w:pStyle w:val="ListParagraph"/>
        <w:numPr>
          <w:ilvl w:val="0"/>
          <w:numId w:val="8"/>
        </w:numPr>
        <w:rPr>
          <w:lang w:val="fr-FR"/>
        </w:rPr>
      </w:pPr>
      <w:r w:rsidRPr="00847479">
        <w:rPr>
          <w:lang w:val="fr-FR"/>
        </w:rPr>
        <w:t>Il est de minimum 5 m de la voie publique.</w:t>
      </w:r>
    </w:p>
    <w:p w14:paraId="364D21E5" w14:textId="2F565B70" w:rsidR="00847479" w:rsidRPr="00847479" w:rsidRDefault="00847479" w:rsidP="00847479">
      <w:pPr>
        <w:rPr>
          <w:u w:val="single"/>
          <w:lang w:val="fr-FR"/>
        </w:rPr>
      </w:pPr>
      <w:r w:rsidRPr="00847479">
        <w:rPr>
          <w:u w:val="single"/>
          <w:lang w:val="fr-FR"/>
        </w:rPr>
        <w:t>Recul latéral et postérieur</w:t>
      </w:r>
      <w:r w:rsidRPr="00847479">
        <w:rPr>
          <w:u w:val="single"/>
          <w:lang w:val="fr-FR"/>
        </w:rPr>
        <w:t>:</w:t>
      </w:r>
    </w:p>
    <w:p w14:paraId="481A2269" w14:textId="3892B23B" w:rsidR="00847479" w:rsidRPr="00847479" w:rsidRDefault="00847479" w:rsidP="00847479">
      <w:pPr>
        <w:pStyle w:val="ListParagraph"/>
        <w:numPr>
          <w:ilvl w:val="0"/>
          <w:numId w:val="8"/>
        </w:numPr>
        <w:rPr>
          <w:lang w:val="fr-FR"/>
        </w:rPr>
      </w:pPr>
      <w:r w:rsidRPr="00847479">
        <w:rPr>
          <w:lang w:val="fr-FR"/>
        </w:rPr>
        <w:t>Il est de minimum 5 m.</w:t>
      </w:r>
    </w:p>
    <w:p w14:paraId="2DA6F647" w14:textId="06DDCEAF" w:rsidR="00847479" w:rsidRPr="00847479" w:rsidRDefault="00847479" w:rsidP="00847479">
      <w:pPr>
        <w:pStyle w:val="Heading2"/>
        <w:rPr>
          <w:lang w:val="fr-FR"/>
        </w:rPr>
      </w:pPr>
      <w:r>
        <w:rPr>
          <w:lang w:val="fr-FR"/>
        </w:rPr>
        <w:t xml:space="preserve">Art. 5.2 </w:t>
      </w:r>
      <w:r w:rsidRPr="00847479">
        <w:rPr>
          <w:lang w:val="fr-FR"/>
        </w:rPr>
        <w:t>Gabarit des constructions</w:t>
      </w:r>
    </w:p>
    <w:p w14:paraId="7942DD5A" w14:textId="76F244A8" w:rsidR="00847479" w:rsidRPr="00847479" w:rsidRDefault="00847479" w:rsidP="00847479">
      <w:pPr>
        <w:rPr>
          <w:u w:val="single"/>
          <w:lang w:val="fr-FR"/>
        </w:rPr>
      </w:pPr>
      <w:r w:rsidRPr="00847479">
        <w:rPr>
          <w:u w:val="single"/>
          <w:lang w:val="fr-FR"/>
        </w:rPr>
        <w:t>Niveaux</w:t>
      </w:r>
      <w:r w:rsidRPr="00847479">
        <w:rPr>
          <w:u w:val="single"/>
          <w:lang w:val="fr-FR"/>
        </w:rPr>
        <w:t>:</w:t>
      </w:r>
    </w:p>
    <w:p w14:paraId="301451BF" w14:textId="77777777" w:rsidR="00847479" w:rsidRDefault="00847479" w:rsidP="00847479">
      <w:pPr>
        <w:ind w:left="720"/>
        <w:rPr>
          <w:lang w:val="fr-FR"/>
        </w:rPr>
      </w:pPr>
      <w:r w:rsidRPr="00847479">
        <w:rPr>
          <w:lang w:val="fr-FR"/>
        </w:rPr>
        <w:t>Le nombre maximal de niveaux pleins aménagés est fixé à 2.</w:t>
      </w:r>
    </w:p>
    <w:p w14:paraId="1B61758D" w14:textId="04E7546E" w:rsidR="00847479" w:rsidRDefault="00847479" w:rsidP="00847479">
      <w:pPr>
        <w:ind w:left="720"/>
        <w:rPr>
          <w:lang w:val="fr-FR"/>
        </w:rPr>
      </w:pPr>
      <w:r w:rsidRPr="00847479">
        <w:rPr>
          <w:lang w:val="fr-FR"/>
        </w:rPr>
        <w:t>Un étage partiel peut être aménagé en supplément sous forme de mezzanine. La surface maximale</w:t>
      </w:r>
      <w:r>
        <w:rPr>
          <w:lang w:val="fr-FR"/>
        </w:rPr>
        <w:t xml:space="preserve"> </w:t>
      </w:r>
      <w:r w:rsidRPr="00847479">
        <w:rPr>
          <w:lang w:val="fr-FR"/>
        </w:rPr>
        <w:t>de cet étage partiel est fixée à 50% de la surfa</w:t>
      </w:r>
      <w:r>
        <w:rPr>
          <w:lang w:val="fr-FR"/>
        </w:rPr>
        <w:t>ce du niveau plein sous-jacent.</w:t>
      </w:r>
    </w:p>
    <w:p w14:paraId="380212D6" w14:textId="147F0FD8" w:rsidR="00847479" w:rsidRPr="00847479" w:rsidRDefault="00847479" w:rsidP="00847479">
      <w:pPr>
        <w:ind w:left="720"/>
        <w:rPr>
          <w:lang w:val="fr-FR"/>
        </w:rPr>
      </w:pPr>
      <w:r w:rsidRPr="00847479">
        <w:rPr>
          <w:lang w:val="fr-FR"/>
        </w:rPr>
        <w:t>En cas de terrain à forte déclivité, un étage partiel peut être aménagé en supplément au niveau du</w:t>
      </w:r>
      <w:r>
        <w:rPr>
          <w:lang w:val="fr-FR"/>
        </w:rPr>
        <w:t xml:space="preserve"> </w:t>
      </w:r>
      <w:r w:rsidRPr="00847479">
        <w:rPr>
          <w:lang w:val="fr-FR"/>
        </w:rPr>
        <w:t xml:space="preserve">sous-sol. La surface maximale de cet étage partiel est fixée à 50% de la </w:t>
      </w:r>
      <w:r w:rsidRPr="00847479">
        <w:rPr>
          <w:lang w:val="fr-FR"/>
        </w:rPr>
        <w:lastRenderedPageBreak/>
        <w:t>surface du niveau du rez</w:t>
      </w:r>
      <w:r>
        <w:rPr>
          <w:lang w:val="fr-FR"/>
        </w:rPr>
        <w:t>-</w:t>
      </w:r>
      <w:r w:rsidRPr="00847479">
        <w:rPr>
          <w:lang w:val="fr-FR"/>
        </w:rPr>
        <w:t>de-chaussée. Les locaux destinés au séjour prolongé de personnes (ateliers, bureaux, …) y situés</w:t>
      </w:r>
      <w:r>
        <w:rPr>
          <w:lang w:val="fr-FR"/>
        </w:rPr>
        <w:t xml:space="preserve"> </w:t>
      </w:r>
      <w:r w:rsidRPr="00847479">
        <w:rPr>
          <w:lang w:val="fr-FR"/>
        </w:rPr>
        <w:t>devront bénéficier d’une vue directe vers l’extérieur.</w:t>
      </w:r>
    </w:p>
    <w:p w14:paraId="4299731C" w14:textId="4389F6F7" w:rsidR="00847479" w:rsidRPr="00847479" w:rsidRDefault="00847479" w:rsidP="00847479">
      <w:pPr>
        <w:rPr>
          <w:u w:val="single"/>
          <w:lang w:val="fr-FR"/>
        </w:rPr>
      </w:pPr>
      <w:r w:rsidRPr="00847479">
        <w:rPr>
          <w:u w:val="single"/>
          <w:lang w:val="fr-FR"/>
        </w:rPr>
        <w:t>Surfaces construites</w:t>
      </w:r>
      <w:r w:rsidRPr="00847479">
        <w:rPr>
          <w:u w:val="single"/>
          <w:lang w:val="fr-FR"/>
        </w:rPr>
        <w:t>:</w:t>
      </w:r>
    </w:p>
    <w:p w14:paraId="1635AFDB" w14:textId="77777777" w:rsidR="00847479" w:rsidRDefault="00847479" w:rsidP="00847479">
      <w:pPr>
        <w:pStyle w:val="ListParagraph"/>
        <w:numPr>
          <w:ilvl w:val="0"/>
          <w:numId w:val="8"/>
        </w:numPr>
        <w:rPr>
          <w:lang w:val="fr-FR"/>
        </w:rPr>
      </w:pPr>
      <w:r w:rsidRPr="00847479">
        <w:rPr>
          <w:lang w:val="fr-FR"/>
        </w:rPr>
        <w:t>La profondeur de construction est de maximum 35 m.</w:t>
      </w:r>
    </w:p>
    <w:p w14:paraId="4411CC78" w14:textId="77777777" w:rsidR="00847479" w:rsidRDefault="00847479" w:rsidP="00847479">
      <w:pPr>
        <w:pStyle w:val="ListParagraph"/>
        <w:numPr>
          <w:ilvl w:val="0"/>
          <w:numId w:val="8"/>
        </w:numPr>
        <w:rPr>
          <w:lang w:val="fr-FR"/>
        </w:rPr>
      </w:pPr>
      <w:r w:rsidRPr="00847479">
        <w:rPr>
          <w:lang w:val="fr-FR"/>
        </w:rPr>
        <w:t>La longueur de construction est de maximum 65 m.</w:t>
      </w:r>
    </w:p>
    <w:p w14:paraId="0C75ABF0" w14:textId="77777777" w:rsidR="00847479" w:rsidRDefault="00847479" w:rsidP="00847479">
      <w:pPr>
        <w:pStyle w:val="ListParagraph"/>
        <w:numPr>
          <w:ilvl w:val="0"/>
          <w:numId w:val="8"/>
        </w:numPr>
        <w:rPr>
          <w:lang w:val="fr-FR"/>
        </w:rPr>
      </w:pPr>
      <w:r w:rsidRPr="00847479">
        <w:rPr>
          <w:lang w:val="fr-FR"/>
        </w:rPr>
        <w:t>L’emprise au sol de la construction est de maximum 1.600 m</w:t>
      </w:r>
      <w:r w:rsidRPr="00847479">
        <w:rPr>
          <w:vertAlign w:val="superscript"/>
          <w:lang w:val="fr-FR"/>
        </w:rPr>
        <w:t>2</w:t>
      </w:r>
      <w:r w:rsidRPr="00847479">
        <w:rPr>
          <w:lang w:val="fr-FR"/>
        </w:rPr>
        <w:t xml:space="preserve"> par volume.</w:t>
      </w:r>
    </w:p>
    <w:p w14:paraId="287DF4B6" w14:textId="080A413E" w:rsidR="00847479" w:rsidRPr="00847479" w:rsidRDefault="00847479" w:rsidP="00847479">
      <w:pPr>
        <w:pStyle w:val="ListParagraph"/>
        <w:numPr>
          <w:ilvl w:val="0"/>
          <w:numId w:val="8"/>
        </w:numPr>
        <w:rPr>
          <w:lang w:val="fr-FR"/>
        </w:rPr>
      </w:pPr>
      <w:r w:rsidRPr="00847479">
        <w:rPr>
          <w:lang w:val="fr-FR"/>
        </w:rPr>
        <w:t>L’emprise au sol de l’immeuble bâti est de maximum 3.500 m</w:t>
      </w:r>
      <w:r w:rsidRPr="00847479">
        <w:rPr>
          <w:vertAlign w:val="superscript"/>
          <w:lang w:val="fr-FR"/>
        </w:rPr>
        <w:t>2</w:t>
      </w:r>
      <w:r w:rsidRPr="00847479">
        <w:rPr>
          <w:lang w:val="fr-FR"/>
        </w:rPr>
        <w:t>.</w:t>
      </w:r>
    </w:p>
    <w:p w14:paraId="03219F8C" w14:textId="70C3BB29" w:rsidR="00847479" w:rsidRPr="00847479" w:rsidRDefault="00847479" w:rsidP="00847479">
      <w:pPr>
        <w:rPr>
          <w:u w:val="single"/>
          <w:lang w:val="fr-FR"/>
        </w:rPr>
      </w:pPr>
      <w:r w:rsidRPr="00847479">
        <w:rPr>
          <w:u w:val="single"/>
          <w:lang w:val="fr-FR"/>
        </w:rPr>
        <w:t>Hauteurs</w:t>
      </w:r>
      <w:r w:rsidRPr="00847479">
        <w:rPr>
          <w:u w:val="single"/>
          <w:lang w:val="fr-FR"/>
        </w:rPr>
        <w:t>:</w:t>
      </w:r>
    </w:p>
    <w:p w14:paraId="4D3519CE" w14:textId="77777777" w:rsidR="00847479" w:rsidRDefault="00847479" w:rsidP="00847479">
      <w:pPr>
        <w:pStyle w:val="ListParagraph"/>
        <w:numPr>
          <w:ilvl w:val="0"/>
          <w:numId w:val="9"/>
        </w:numPr>
        <w:rPr>
          <w:lang w:val="fr-FR"/>
        </w:rPr>
      </w:pPr>
      <w:r w:rsidRPr="00847479">
        <w:rPr>
          <w:lang w:val="fr-FR"/>
        </w:rPr>
        <w:t>La hauteur de corniche est de maximum 7,5 m.</w:t>
      </w:r>
    </w:p>
    <w:p w14:paraId="2F6C9141" w14:textId="77777777" w:rsidR="00847479" w:rsidRDefault="00847479" w:rsidP="00847479">
      <w:pPr>
        <w:pStyle w:val="ListParagraph"/>
        <w:numPr>
          <w:ilvl w:val="0"/>
          <w:numId w:val="9"/>
        </w:numPr>
        <w:rPr>
          <w:lang w:val="fr-FR"/>
        </w:rPr>
      </w:pPr>
      <w:r w:rsidRPr="00847479">
        <w:rPr>
          <w:lang w:val="fr-FR"/>
        </w:rPr>
        <w:t>La hauteur d’acrotère est de maximum 8 m.</w:t>
      </w:r>
    </w:p>
    <w:p w14:paraId="02FC4BD9" w14:textId="3CF573E9" w:rsidR="00847479" w:rsidRPr="00847479" w:rsidRDefault="00847479" w:rsidP="00847479">
      <w:pPr>
        <w:pStyle w:val="ListParagraph"/>
        <w:numPr>
          <w:ilvl w:val="0"/>
          <w:numId w:val="9"/>
        </w:numPr>
        <w:rPr>
          <w:lang w:val="fr-FR"/>
        </w:rPr>
      </w:pPr>
      <w:r w:rsidRPr="00847479">
        <w:rPr>
          <w:lang w:val="fr-FR"/>
        </w:rPr>
        <w:t>La hauteur de la faîtière est de maximum 12,5 m.</w:t>
      </w:r>
    </w:p>
    <w:p w14:paraId="23F677AF" w14:textId="5DBA76D0" w:rsidR="00847479" w:rsidRPr="00847479" w:rsidRDefault="00847479" w:rsidP="00847479">
      <w:pPr>
        <w:rPr>
          <w:u w:val="single"/>
          <w:lang w:val="fr-FR"/>
        </w:rPr>
      </w:pPr>
      <w:r w:rsidRPr="00847479">
        <w:rPr>
          <w:u w:val="single"/>
          <w:lang w:val="fr-FR"/>
        </w:rPr>
        <w:t>Forme de toiture</w:t>
      </w:r>
      <w:r w:rsidRPr="00847479">
        <w:rPr>
          <w:u w:val="single"/>
          <w:lang w:val="fr-FR"/>
        </w:rPr>
        <w:t>:</w:t>
      </w:r>
    </w:p>
    <w:p w14:paraId="26FD4ECC" w14:textId="77777777" w:rsidR="00847479" w:rsidRDefault="00847479" w:rsidP="00847479">
      <w:pPr>
        <w:pStyle w:val="ListParagraph"/>
        <w:numPr>
          <w:ilvl w:val="0"/>
          <w:numId w:val="10"/>
        </w:numPr>
        <w:rPr>
          <w:lang w:val="fr-FR"/>
        </w:rPr>
      </w:pPr>
      <w:r w:rsidRPr="00847479">
        <w:rPr>
          <w:lang w:val="fr-FR"/>
        </w:rPr>
        <w:t>La pente de toiture est comprise entre 0° et 30°.</w:t>
      </w:r>
    </w:p>
    <w:p w14:paraId="5FC3CAB8" w14:textId="77777777" w:rsidR="00847479" w:rsidRDefault="00847479" w:rsidP="00847479">
      <w:pPr>
        <w:pStyle w:val="ListParagraph"/>
        <w:numPr>
          <w:ilvl w:val="0"/>
          <w:numId w:val="10"/>
        </w:numPr>
        <w:rPr>
          <w:lang w:val="fr-FR"/>
        </w:rPr>
      </w:pPr>
      <w:r w:rsidRPr="00847479">
        <w:rPr>
          <w:lang w:val="fr-FR"/>
        </w:rPr>
        <w:t>Les formes de toi</w:t>
      </w:r>
      <w:r>
        <w:rPr>
          <w:lang w:val="fr-FR"/>
        </w:rPr>
        <w:t>tures suivantes sont autorisées</w:t>
      </w:r>
      <w:r w:rsidRPr="00847479">
        <w:rPr>
          <w:lang w:val="fr-FR"/>
        </w:rPr>
        <w:t>:</w:t>
      </w:r>
    </w:p>
    <w:p w14:paraId="7B48F6EF" w14:textId="77777777" w:rsidR="00847479" w:rsidRDefault="00847479" w:rsidP="00847479">
      <w:pPr>
        <w:pStyle w:val="ListParagraph"/>
        <w:numPr>
          <w:ilvl w:val="1"/>
          <w:numId w:val="10"/>
        </w:numPr>
        <w:rPr>
          <w:lang w:val="fr-FR"/>
        </w:rPr>
      </w:pPr>
      <w:proofErr w:type="gramStart"/>
      <w:r w:rsidRPr="00847479">
        <w:rPr>
          <w:lang w:val="fr-FR"/>
        </w:rPr>
        <w:t>toitures</w:t>
      </w:r>
      <w:proofErr w:type="gramEnd"/>
      <w:r w:rsidRPr="00847479">
        <w:rPr>
          <w:lang w:val="fr-FR"/>
        </w:rPr>
        <w:t xml:space="preserve"> plates,</w:t>
      </w:r>
    </w:p>
    <w:p w14:paraId="7DA4CED1" w14:textId="77777777" w:rsidR="00847479" w:rsidRDefault="00847479" w:rsidP="00847479">
      <w:pPr>
        <w:pStyle w:val="ListParagraph"/>
        <w:numPr>
          <w:ilvl w:val="1"/>
          <w:numId w:val="10"/>
        </w:numPr>
        <w:rPr>
          <w:lang w:val="fr-FR"/>
        </w:rPr>
      </w:pPr>
      <w:proofErr w:type="gramStart"/>
      <w:r w:rsidRPr="00847479">
        <w:rPr>
          <w:lang w:val="fr-FR"/>
        </w:rPr>
        <w:t>toitures</w:t>
      </w:r>
      <w:proofErr w:type="gramEnd"/>
      <w:r w:rsidRPr="00847479">
        <w:rPr>
          <w:lang w:val="fr-FR"/>
        </w:rPr>
        <w:t xml:space="preserve"> à un versant,</w:t>
      </w:r>
    </w:p>
    <w:p w14:paraId="2D5BE9ED" w14:textId="47E6D5CC" w:rsidR="00847479" w:rsidRPr="00847479" w:rsidRDefault="00847479" w:rsidP="00847479">
      <w:pPr>
        <w:pStyle w:val="ListParagraph"/>
        <w:numPr>
          <w:ilvl w:val="1"/>
          <w:numId w:val="10"/>
        </w:numPr>
        <w:rPr>
          <w:lang w:val="fr-FR"/>
        </w:rPr>
      </w:pPr>
      <w:proofErr w:type="gramStart"/>
      <w:r w:rsidRPr="00847479">
        <w:rPr>
          <w:lang w:val="fr-FR"/>
        </w:rPr>
        <w:t>toitures</w:t>
      </w:r>
      <w:proofErr w:type="gramEnd"/>
      <w:r w:rsidRPr="00847479">
        <w:rPr>
          <w:lang w:val="fr-FR"/>
        </w:rPr>
        <w:t xml:space="preserve"> à 2 versants avec ou sans croupes ou demi-croupes.</w:t>
      </w:r>
    </w:p>
    <w:p w14:paraId="6249C4F0" w14:textId="2D42C94A" w:rsidR="00847479" w:rsidRPr="00847479" w:rsidRDefault="00847479" w:rsidP="00847479">
      <w:pPr>
        <w:rPr>
          <w:i/>
          <w:lang w:val="fr-FR"/>
        </w:rPr>
      </w:pPr>
      <w:r w:rsidRPr="00847479">
        <w:rPr>
          <w:i/>
          <w:lang w:val="fr-FR"/>
        </w:rPr>
        <w:t>Schéma à titre indicatif</w:t>
      </w:r>
      <w:r w:rsidRPr="00847479">
        <w:rPr>
          <w:i/>
          <w:lang w:val="fr-FR"/>
        </w:rPr>
        <w:t>: Zone ECO-c1 – gabarit des constructions</w:t>
      </w:r>
    </w:p>
    <w:p w14:paraId="7630D832" w14:textId="7EC597B5" w:rsidR="00847479" w:rsidRDefault="00847479" w:rsidP="0084747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67E60D0" wp14:editId="27D057D0">
            <wp:extent cx="5731510" cy="14306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9F017" w14:textId="2FAAB162" w:rsidR="00847479" w:rsidRDefault="00847479" w:rsidP="00847479">
      <w:pPr>
        <w:rPr>
          <w:lang w:val="fr-FR"/>
        </w:rPr>
      </w:pPr>
    </w:p>
    <w:p w14:paraId="4263B938" w14:textId="45ED9578" w:rsidR="00847479" w:rsidRPr="00847479" w:rsidRDefault="00847479" w:rsidP="00847479">
      <w:pPr>
        <w:rPr>
          <w:i/>
          <w:lang w:val="fr-FR"/>
        </w:rPr>
      </w:pPr>
      <w:r w:rsidRPr="00847479">
        <w:rPr>
          <w:i/>
          <w:lang w:val="fr-FR"/>
        </w:rPr>
        <w:t>Schéma à titre indicatif: Zone ECO-c1 – reculs et surfaces construites</w:t>
      </w:r>
    </w:p>
    <w:p w14:paraId="3E01E9CA" w14:textId="5D43FF68" w:rsidR="00847479" w:rsidRDefault="00847479" w:rsidP="00847479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6DF7335E" wp14:editId="3F7A98C8">
            <wp:extent cx="4467225" cy="4152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09273" w14:textId="3342426E" w:rsidR="00847479" w:rsidRPr="00847479" w:rsidRDefault="00847479" w:rsidP="00847479">
      <w:pPr>
        <w:rPr>
          <w:lang w:val="fr-FR"/>
        </w:rPr>
      </w:pPr>
      <w:bookmarkStart w:id="0" w:name="_GoBack"/>
      <w:bookmarkEnd w:id="0"/>
    </w:p>
    <w:sectPr w:rsidR="00847479" w:rsidRPr="008474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36A6D"/>
    <w:multiLevelType w:val="hybridMultilevel"/>
    <w:tmpl w:val="09BA788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377DA"/>
    <w:multiLevelType w:val="hybridMultilevel"/>
    <w:tmpl w:val="7BB07F1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285D6C"/>
    <w:multiLevelType w:val="hybridMultilevel"/>
    <w:tmpl w:val="636EF57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C74D9"/>
    <w:multiLevelType w:val="hybridMultilevel"/>
    <w:tmpl w:val="E21872D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47479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2023-08-11T05:30:00Z</dcterms:modified>
</cp:coreProperties>
</file>