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F8530" w14:textId="77777777" w:rsidR="00B60549" w:rsidRPr="00B60549" w:rsidRDefault="00B60549" w:rsidP="00B60549">
      <w:pPr>
        <w:pStyle w:val="Heading1"/>
        <w:rPr>
          <w:lang w:val="fr-FR"/>
        </w:rPr>
      </w:pPr>
      <w:r w:rsidRPr="00B60549">
        <w:rPr>
          <w:lang w:val="fr-FR"/>
        </w:rPr>
        <w:t>Art. 14 Catégories</w:t>
      </w:r>
    </w:p>
    <w:p w14:paraId="0C3FDBB4" w14:textId="77777777" w:rsidR="00B60549" w:rsidRDefault="00B60549" w:rsidP="00B60549">
      <w:pPr>
        <w:rPr>
          <w:lang w:val="fr-FR"/>
        </w:rPr>
      </w:pPr>
      <w:r>
        <w:rPr>
          <w:lang w:val="fr-FR"/>
        </w:rPr>
        <w:t>La zone verte comprend:</w:t>
      </w:r>
    </w:p>
    <w:p w14:paraId="2FF7F6E1" w14:textId="56C6F2E0"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agricoles;</w:t>
      </w:r>
    </w:p>
    <w:p w14:paraId="4F29890B" w14:textId="77777777"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viticoles;</w:t>
      </w:r>
    </w:p>
    <w:p w14:paraId="7450D3A1" w14:textId="77777777"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forestières;</w:t>
      </w:r>
    </w:p>
    <w:p w14:paraId="1EC78BFA" w14:textId="074EC7BA" w:rsidR="00B60549" w:rsidRP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de verdure.</w:t>
      </w:r>
    </w:p>
    <w:p w14:paraId="6851C5FE" w14:textId="77777777" w:rsidR="00B60549" w:rsidRPr="00B60549" w:rsidRDefault="00B60549" w:rsidP="00B60549">
      <w:pPr>
        <w:rPr>
          <w:lang w:val="fr-FR"/>
        </w:rPr>
      </w:pPr>
      <w:r w:rsidRPr="00B60549">
        <w:rPr>
          <w:lang w:val="fr-FR"/>
        </w:rP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242588C0" w14:textId="77777777" w:rsidR="00B60549" w:rsidRPr="00B60549" w:rsidRDefault="00B60549" w:rsidP="00B60549">
      <w:pPr>
        <w:rPr>
          <w:lang w:val="fr-FR"/>
        </w:rPr>
      </w:pPr>
      <w:r w:rsidRPr="00B60549">
        <w:rPr>
          <w:lang w:val="fr-FR"/>
        </w:rP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59705D7C" w14:textId="77777777" w:rsidR="0004373C" w:rsidRPr="0004373C" w:rsidRDefault="0004373C" w:rsidP="0004373C">
      <w:pPr>
        <w:pStyle w:val="Heading1"/>
      </w:pPr>
      <w:r w:rsidRPr="0004373C">
        <w:t xml:space="preserve">Art. 17 Zones </w:t>
      </w:r>
      <w:proofErr w:type="spellStart"/>
      <w:r w:rsidRPr="0004373C">
        <w:t>forestières</w:t>
      </w:r>
      <w:proofErr w:type="spellEnd"/>
      <w:r w:rsidRPr="0004373C">
        <w:t xml:space="preserve"> (FOR)</w:t>
      </w:r>
    </w:p>
    <w:p w14:paraId="46BF37BC" w14:textId="77777777" w:rsidR="0004373C" w:rsidRPr="0004373C" w:rsidRDefault="0004373C" w:rsidP="0004373C">
      <w:pPr>
        <w:rPr>
          <w:lang w:val="fr-FR"/>
        </w:rPr>
      </w:pPr>
      <w:r w:rsidRPr="0004373C">
        <w:rPr>
          <w:lang w:val="fr-FR"/>
        </w:rPr>
        <w:t>Les zones forestières sont principalement destinées à la sylviculture.</w:t>
      </w:r>
    </w:p>
    <w:p w14:paraId="38FDEE07" w14:textId="30CA1166" w:rsidR="006605E2" w:rsidRPr="006605E2" w:rsidRDefault="0004373C" w:rsidP="0004373C">
      <w:pPr>
        <w:rPr>
          <w:lang w:val="fr-FR"/>
        </w:rPr>
      </w:pPr>
      <w:r w:rsidRPr="0004373C">
        <w:rPr>
          <w:lang w:val="fr-FR"/>
        </w:rPr>
        <w:t>Dans les zones forestières seules peuvent être érigées des constructions et installations autorisables en app</w:t>
      </w:r>
      <w:bookmarkStart w:id="0" w:name="_GoBack"/>
      <w:bookmarkEnd w:id="0"/>
      <w:r w:rsidRPr="0004373C">
        <w:rPr>
          <w:lang w:val="fr-FR"/>
        </w:rPr>
        <w:t>lication de la législation en vigueur concernant la protection de la nature et des ressources naturelles.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45B"/>
    <w:multiLevelType w:val="hybridMultilevel"/>
    <w:tmpl w:val="A78296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051A7"/>
    <w:multiLevelType w:val="hybridMultilevel"/>
    <w:tmpl w:val="555C342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4373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6054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2021-04-14T09:18:00Z</dcterms:modified>
</cp:coreProperties>
</file>