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A8093" w14:textId="3339F06D" w:rsidR="009C39C9" w:rsidRDefault="009C39C9" w:rsidP="009C39C9">
      <w:pPr>
        <w:pStyle w:val="Heading1"/>
        <w:rPr>
          <w:lang w:val="fr-LU"/>
        </w:rPr>
      </w:pPr>
      <w:r w:rsidRPr="009C39C9">
        <w:rPr>
          <w:lang w:val="fr-LU"/>
        </w:rPr>
        <w:t xml:space="preserve">Art. 5 Quartier d’activités économiques </w:t>
      </w:r>
      <w:r>
        <w:rPr>
          <w:lang w:val="fr-LU"/>
        </w:rPr>
        <w:t>« QE ECO-c1 »</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956"/>
        <w:gridCol w:w="2722"/>
      </w:tblGrid>
      <w:tr w:rsidR="009C39C9" w:rsidRPr="009C39C9" w14:paraId="6D4F7773" w14:textId="77777777" w:rsidTr="009C39C9">
        <w:trPr>
          <w:jc w:val="center"/>
        </w:trPr>
        <w:tc>
          <w:tcPr>
            <w:tcW w:w="8075" w:type="dxa"/>
            <w:gridSpan w:val="3"/>
            <w:vAlign w:val="center"/>
          </w:tcPr>
          <w:p w14:paraId="2844AA8C" w14:textId="38CB82F6" w:rsidR="009C39C9" w:rsidRPr="009C39C9" w:rsidRDefault="009C39C9" w:rsidP="009C39C9">
            <w:pPr>
              <w:pStyle w:val="NormalTableau"/>
              <w:jc w:val="center"/>
            </w:pPr>
            <w:r w:rsidRPr="009C39C9">
              <w:t>Prescriptions QE ECO-c1</w:t>
            </w:r>
          </w:p>
        </w:tc>
      </w:tr>
      <w:tr w:rsidR="009C39C9" w:rsidRPr="009C39C9" w14:paraId="7E17F4DA" w14:textId="77777777" w:rsidTr="009C39C9">
        <w:trPr>
          <w:trHeight w:val="358"/>
          <w:jc w:val="center"/>
        </w:trPr>
        <w:tc>
          <w:tcPr>
            <w:tcW w:w="3397" w:type="dxa"/>
            <w:vMerge w:val="restart"/>
            <w:vAlign w:val="center"/>
          </w:tcPr>
          <w:p w14:paraId="1CA678A1" w14:textId="77777777" w:rsidR="009C39C9" w:rsidRPr="009C39C9" w:rsidRDefault="009C39C9" w:rsidP="009C39C9">
            <w:pPr>
              <w:pStyle w:val="NormalTableau"/>
              <w:jc w:val="center"/>
            </w:pPr>
            <w:r w:rsidRPr="009C39C9">
              <w:t>Reculs des constructions par rapport aux limites du terrain à bâtir net et distances à observer entre les constructions</w:t>
            </w:r>
          </w:p>
        </w:tc>
        <w:tc>
          <w:tcPr>
            <w:tcW w:w="1956" w:type="dxa"/>
            <w:vAlign w:val="center"/>
          </w:tcPr>
          <w:p w14:paraId="396E8A16" w14:textId="726BDBEC" w:rsidR="009C39C9" w:rsidRPr="009C39C9" w:rsidRDefault="009C39C9" w:rsidP="009C39C9">
            <w:pPr>
              <w:pStyle w:val="NormalTableau"/>
              <w:jc w:val="center"/>
            </w:pPr>
            <w:r w:rsidRPr="009C39C9">
              <w:t>Avant</w:t>
            </w:r>
          </w:p>
        </w:tc>
        <w:tc>
          <w:tcPr>
            <w:tcW w:w="2722" w:type="dxa"/>
            <w:vAlign w:val="center"/>
          </w:tcPr>
          <w:p w14:paraId="60B44069" w14:textId="77777777" w:rsidR="009C39C9" w:rsidRPr="009C39C9" w:rsidRDefault="009C39C9" w:rsidP="009C39C9">
            <w:pPr>
              <w:pStyle w:val="NormalTableau"/>
              <w:jc w:val="center"/>
            </w:pPr>
            <w:r w:rsidRPr="009C39C9">
              <w:t>6,00 m min</w:t>
            </w:r>
          </w:p>
        </w:tc>
      </w:tr>
      <w:tr w:rsidR="009C39C9" w:rsidRPr="009C39C9" w14:paraId="0DCCB530" w14:textId="77777777" w:rsidTr="009C39C9">
        <w:trPr>
          <w:trHeight w:val="278"/>
          <w:jc w:val="center"/>
        </w:trPr>
        <w:tc>
          <w:tcPr>
            <w:tcW w:w="3397" w:type="dxa"/>
            <w:vMerge/>
            <w:vAlign w:val="center"/>
          </w:tcPr>
          <w:p w14:paraId="781940EF" w14:textId="77777777" w:rsidR="009C39C9" w:rsidRPr="009C39C9" w:rsidRDefault="009C39C9" w:rsidP="009C39C9">
            <w:pPr>
              <w:pStyle w:val="NormalTableau"/>
              <w:jc w:val="center"/>
            </w:pPr>
          </w:p>
        </w:tc>
        <w:tc>
          <w:tcPr>
            <w:tcW w:w="1956" w:type="dxa"/>
            <w:vAlign w:val="center"/>
          </w:tcPr>
          <w:p w14:paraId="7BDD06D5" w14:textId="2EE0F4A8" w:rsidR="009C39C9" w:rsidRPr="009C39C9" w:rsidRDefault="009C39C9" w:rsidP="009C39C9">
            <w:pPr>
              <w:pStyle w:val="NormalTableau"/>
              <w:jc w:val="center"/>
            </w:pPr>
            <w:r w:rsidRPr="009C39C9">
              <w:t>Latéral</w:t>
            </w:r>
          </w:p>
        </w:tc>
        <w:tc>
          <w:tcPr>
            <w:tcW w:w="2722" w:type="dxa"/>
            <w:vAlign w:val="center"/>
          </w:tcPr>
          <w:p w14:paraId="695C1CE0" w14:textId="77777777" w:rsidR="009C39C9" w:rsidRPr="009C39C9" w:rsidRDefault="009C39C9" w:rsidP="009C39C9">
            <w:pPr>
              <w:pStyle w:val="NormalTableau"/>
              <w:jc w:val="center"/>
            </w:pPr>
            <w:r w:rsidRPr="009C39C9">
              <w:t>6,00 m min</w:t>
            </w:r>
          </w:p>
        </w:tc>
      </w:tr>
      <w:tr w:rsidR="009C39C9" w:rsidRPr="009C39C9" w14:paraId="3AE372AA" w14:textId="77777777" w:rsidTr="009C39C9">
        <w:trPr>
          <w:trHeight w:val="253"/>
          <w:jc w:val="center"/>
        </w:trPr>
        <w:tc>
          <w:tcPr>
            <w:tcW w:w="3397" w:type="dxa"/>
            <w:vMerge/>
            <w:vAlign w:val="center"/>
          </w:tcPr>
          <w:p w14:paraId="014FB6ED" w14:textId="77777777" w:rsidR="009C39C9" w:rsidRPr="009C39C9" w:rsidRDefault="009C39C9" w:rsidP="009C39C9">
            <w:pPr>
              <w:pStyle w:val="NormalTableau"/>
              <w:jc w:val="center"/>
            </w:pPr>
          </w:p>
        </w:tc>
        <w:tc>
          <w:tcPr>
            <w:tcW w:w="1956" w:type="dxa"/>
            <w:vAlign w:val="center"/>
          </w:tcPr>
          <w:p w14:paraId="6A295652" w14:textId="77777777" w:rsidR="009C39C9" w:rsidRPr="009C39C9" w:rsidRDefault="009C39C9" w:rsidP="009C39C9">
            <w:pPr>
              <w:pStyle w:val="NormalTableau"/>
              <w:jc w:val="center"/>
            </w:pPr>
            <w:r w:rsidRPr="009C39C9">
              <w:t>Arrière</w:t>
            </w:r>
          </w:p>
        </w:tc>
        <w:tc>
          <w:tcPr>
            <w:tcW w:w="2722" w:type="dxa"/>
            <w:vAlign w:val="center"/>
          </w:tcPr>
          <w:p w14:paraId="4EE178C8" w14:textId="77777777" w:rsidR="009C39C9" w:rsidRPr="009C39C9" w:rsidRDefault="009C39C9" w:rsidP="009C39C9">
            <w:pPr>
              <w:pStyle w:val="NormalTableau"/>
              <w:jc w:val="center"/>
            </w:pPr>
            <w:r w:rsidRPr="009C39C9">
              <w:t>6,00 m min</w:t>
            </w:r>
          </w:p>
        </w:tc>
      </w:tr>
      <w:tr w:rsidR="009C39C9" w:rsidRPr="009C39C9" w14:paraId="7DB30C99" w14:textId="77777777" w:rsidTr="009C39C9">
        <w:trPr>
          <w:jc w:val="center"/>
        </w:trPr>
        <w:tc>
          <w:tcPr>
            <w:tcW w:w="3397" w:type="dxa"/>
            <w:vMerge/>
            <w:vAlign w:val="center"/>
          </w:tcPr>
          <w:p w14:paraId="42B2ADB6" w14:textId="77777777" w:rsidR="009C39C9" w:rsidRPr="009C39C9" w:rsidRDefault="009C39C9" w:rsidP="009C39C9">
            <w:pPr>
              <w:pStyle w:val="NormalTableau"/>
              <w:jc w:val="center"/>
            </w:pPr>
          </w:p>
        </w:tc>
        <w:tc>
          <w:tcPr>
            <w:tcW w:w="1956" w:type="dxa"/>
            <w:vAlign w:val="center"/>
          </w:tcPr>
          <w:p w14:paraId="5BBF03AB" w14:textId="77777777" w:rsidR="009C39C9" w:rsidRPr="009C39C9" w:rsidRDefault="009C39C9" w:rsidP="009C39C9">
            <w:pPr>
              <w:pStyle w:val="NormalTableau"/>
              <w:jc w:val="center"/>
            </w:pPr>
            <w:r w:rsidRPr="009C39C9">
              <w:t>Distances entre les constructions</w:t>
            </w:r>
          </w:p>
        </w:tc>
        <w:tc>
          <w:tcPr>
            <w:tcW w:w="2722" w:type="dxa"/>
            <w:vAlign w:val="center"/>
          </w:tcPr>
          <w:p w14:paraId="49FCAE2F" w14:textId="77777777" w:rsidR="009C39C9" w:rsidRPr="009C39C9" w:rsidRDefault="009C39C9" w:rsidP="009C39C9">
            <w:pPr>
              <w:pStyle w:val="NormalTableau"/>
              <w:jc w:val="center"/>
            </w:pPr>
            <w:r w:rsidRPr="009C39C9">
              <w:t>6,00 m min</w:t>
            </w:r>
          </w:p>
        </w:tc>
      </w:tr>
      <w:tr w:rsidR="009C39C9" w:rsidRPr="009C39C9" w14:paraId="0DE72827" w14:textId="77777777" w:rsidTr="009C39C9">
        <w:trPr>
          <w:trHeight w:val="382"/>
          <w:jc w:val="center"/>
        </w:trPr>
        <w:tc>
          <w:tcPr>
            <w:tcW w:w="3397" w:type="dxa"/>
            <w:vAlign w:val="center"/>
          </w:tcPr>
          <w:p w14:paraId="58F74D61" w14:textId="77777777" w:rsidR="009C39C9" w:rsidRPr="009C39C9" w:rsidRDefault="009C39C9" w:rsidP="009C39C9">
            <w:pPr>
              <w:pStyle w:val="NormalTableau"/>
              <w:jc w:val="center"/>
            </w:pPr>
            <w:r w:rsidRPr="009C39C9">
              <w:t>Type et disposition des constructions hors sol et sous-sol</w:t>
            </w:r>
          </w:p>
        </w:tc>
        <w:tc>
          <w:tcPr>
            <w:tcW w:w="1956" w:type="dxa"/>
            <w:vAlign w:val="center"/>
          </w:tcPr>
          <w:p w14:paraId="22606F90" w14:textId="77777777" w:rsidR="009C39C9" w:rsidRPr="009C39C9" w:rsidRDefault="009C39C9" w:rsidP="009C39C9">
            <w:pPr>
              <w:pStyle w:val="NormalTableau"/>
              <w:jc w:val="center"/>
            </w:pPr>
            <w:r w:rsidRPr="009C39C9">
              <w:t>Typologie</w:t>
            </w:r>
          </w:p>
        </w:tc>
        <w:tc>
          <w:tcPr>
            <w:tcW w:w="2722" w:type="dxa"/>
            <w:vAlign w:val="center"/>
          </w:tcPr>
          <w:p w14:paraId="68A49B50" w14:textId="77777777" w:rsidR="009C39C9" w:rsidRPr="009C39C9" w:rsidRDefault="009C39C9" w:rsidP="009C39C9">
            <w:pPr>
              <w:pStyle w:val="NormalTableau"/>
              <w:jc w:val="center"/>
            </w:pPr>
            <w:r w:rsidRPr="009C39C9">
              <w:t>Construction isolée ou groupée</w:t>
            </w:r>
          </w:p>
        </w:tc>
      </w:tr>
      <w:tr w:rsidR="009C39C9" w:rsidRPr="009C39C9" w14:paraId="19864E3B" w14:textId="77777777" w:rsidTr="009C39C9">
        <w:trPr>
          <w:trHeight w:val="353"/>
          <w:jc w:val="center"/>
        </w:trPr>
        <w:tc>
          <w:tcPr>
            <w:tcW w:w="3397" w:type="dxa"/>
            <w:vMerge w:val="restart"/>
            <w:vAlign w:val="center"/>
          </w:tcPr>
          <w:p w14:paraId="77FC1CB5" w14:textId="77777777" w:rsidR="009C39C9" w:rsidRPr="009C39C9" w:rsidRDefault="009C39C9" w:rsidP="009C39C9">
            <w:pPr>
              <w:pStyle w:val="NormalTableau"/>
              <w:jc w:val="center"/>
            </w:pPr>
            <w:r w:rsidRPr="009C39C9">
              <w:t>Hauteur des constructions</w:t>
            </w:r>
          </w:p>
        </w:tc>
        <w:tc>
          <w:tcPr>
            <w:tcW w:w="1956" w:type="dxa"/>
            <w:vAlign w:val="center"/>
          </w:tcPr>
          <w:p w14:paraId="1DE642F8" w14:textId="071697B1" w:rsidR="009C39C9" w:rsidRPr="009C39C9" w:rsidRDefault="009C39C9" w:rsidP="009C39C9">
            <w:pPr>
              <w:pStyle w:val="NormalTableau"/>
              <w:jc w:val="center"/>
            </w:pPr>
            <w:r w:rsidRPr="009C39C9">
              <w:t>Corniche</w:t>
            </w:r>
          </w:p>
        </w:tc>
        <w:tc>
          <w:tcPr>
            <w:tcW w:w="2722" w:type="dxa"/>
            <w:vAlign w:val="center"/>
          </w:tcPr>
          <w:p w14:paraId="25A3D746" w14:textId="77777777" w:rsidR="009C39C9" w:rsidRPr="009C39C9" w:rsidRDefault="009C39C9" w:rsidP="009C39C9">
            <w:pPr>
              <w:pStyle w:val="NormalTableau"/>
              <w:jc w:val="center"/>
            </w:pPr>
            <w:r w:rsidRPr="009C39C9">
              <w:t>7,50 m max</w:t>
            </w:r>
          </w:p>
        </w:tc>
      </w:tr>
      <w:tr w:rsidR="009C39C9" w:rsidRPr="009C39C9" w14:paraId="7DFCB38A" w14:textId="77777777" w:rsidTr="009C39C9">
        <w:trPr>
          <w:trHeight w:val="287"/>
          <w:jc w:val="center"/>
        </w:trPr>
        <w:tc>
          <w:tcPr>
            <w:tcW w:w="3397" w:type="dxa"/>
            <w:vMerge/>
            <w:vAlign w:val="center"/>
          </w:tcPr>
          <w:p w14:paraId="5073F0F1" w14:textId="77777777" w:rsidR="009C39C9" w:rsidRPr="009C39C9" w:rsidRDefault="009C39C9" w:rsidP="009C39C9">
            <w:pPr>
              <w:pStyle w:val="NormalTableau"/>
              <w:jc w:val="center"/>
            </w:pPr>
          </w:p>
        </w:tc>
        <w:tc>
          <w:tcPr>
            <w:tcW w:w="1956" w:type="dxa"/>
            <w:vAlign w:val="center"/>
          </w:tcPr>
          <w:p w14:paraId="0AEF40A5" w14:textId="77777777" w:rsidR="009C39C9" w:rsidRPr="009C39C9" w:rsidRDefault="009C39C9" w:rsidP="009C39C9">
            <w:pPr>
              <w:pStyle w:val="NormalTableau"/>
              <w:jc w:val="center"/>
            </w:pPr>
            <w:r w:rsidRPr="009C39C9">
              <w:t>Acrotère</w:t>
            </w:r>
          </w:p>
        </w:tc>
        <w:tc>
          <w:tcPr>
            <w:tcW w:w="2722" w:type="dxa"/>
            <w:vAlign w:val="center"/>
          </w:tcPr>
          <w:p w14:paraId="178FAD6C" w14:textId="77777777" w:rsidR="009C39C9" w:rsidRPr="009C39C9" w:rsidRDefault="009C39C9" w:rsidP="009C39C9">
            <w:pPr>
              <w:pStyle w:val="NormalTableau"/>
              <w:jc w:val="center"/>
            </w:pPr>
            <w:r w:rsidRPr="009C39C9">
              <w:t>11,50 m max</w:t>
            </w:r>
          </w:p>
        </w:tc>
      </w:tr>
      <w:tr w:rsidR="009C39C9" w:rsidRPr="009C39C9" w14:paraId="28BA7EF5" w14:textId="77777777" w:rsidTr="009C39C9">
        <w:trPr>
          <w:trHeight w:val="263"/>
          <w:jc w:val="center"/>
        </w:trPr>
        <w:tc>
          <w:tcPr>
            <w:tcW w:w="3397" w:type="dxa"/>
            <w:vMerge/>
            <w:vAlign w:val="center"/>
          </w:tcPr>
          <w:p w14:paraId="6280B4E2" w14:textId="77777777" w:rsidR="009C39C9" w:rsidRPr="009C39C9" w:rsidRDefault="009C39C9" w:rsidP="009C39C9">
            <w:pPr>
              <w:pStyle w:val="NormalTableau"/>
              <w:jc w:val="center"/>
            </w:pPr>
          </w:p>
        </w:tc>
        <w:tc>
          <w:tcPr>
            <w:tcW w:w="1956" w:type="dxa"/>
            <w:vAlign w:val="center"/>
          </w:tcPr>
          <w:p w14:paraId="7EA836C3" w14:textId="77777777" w:rsidR="009C39C9" w:rsidRPr="009C39C9" w:rsidRDefault="009C39C9" w:rsidP="009C39C9">
            <w:pPr>
              <w:pStyle w:val="NormalTableau"/>
              <w:jc w:val="center"/>
            </w:pPr>
            <w:r w:rsidRPr="009C39C9">
              <w:t>Faîtage</w:t>
            </w:r>
          </w:p>
        </w:tc>
        <w:tc>
          <w:tcPr>
            <w:tcW w:w="2722" w:type="dxa"/>
            <w:vAlign w:val="center"/>
          </w:tcPr>
          <w:p w14:paraId="1649CFED" w14:textId="77777777" w:rsidR="009C39C9" w:rsidRPr="009C39C9" w:rsidRDefault="009C39C9" w:rsidP="009C39C9">
            <w:pPr>
              <w:pStyle w:val="NormalTableau"/>
              <w:jc w:val="center"/>
            </w:pPr>
            <w:r w:rsidRPr="009C39C9">
              <w:t>12,00 m max</w:t>
            </w:r>
          </w:p>
        </w:tc>
      </w:tr>
      <w:tr w:rsidR="009C39C9" w:rsidRPr="009C39C9" w14:paraId="01525FA1" w14:textId="77777777" w:rsidTr="009C39C9">
        <w:trPr>
          <w:trHeight w:val="281"/>
          <w:jc w:val="center"/>
        </w:trPr>
        <w:tc>
          <w:tcPr>
            <w:tcW w:w="5353" w:type="dxa"/>
            <w:gridSpan w:val="2"/>
            <w:vAlign w:val="center"/>
          </w:tcPr>
          <w:p w14:paraId="15A537E7" w14:textId="77777777" w:rsidR="009C39C9" w:rsidRPr="009C39C9" w:rsidRDefault="009C39C9" w:rsidP="009C39C9">
            <w:pPr>
              <w:pStyle w:val="NormalTableau"/>
              <w:jc w:val="center"/>
            </w:pPr>
            <w:r w:rsidRPr="009C39C9">
              <w:t>Nombre max d’unités de logement par bâtiment</w:t>
            </w:r>
          </w:p>
        </w:tc>
        <w:tc>
          <w:tcPr>
            <w:tcW w:w="2722" w:type="dxa"/>
            <w:vAlign w:val="center"/>
          </w:tcPr>
          <w:p w14:paraId="7E5E438C" w14:textId="77777777" w:rsidR="009C39C9" w:rsidRPr="009C39C9" w:rsidRDefault="009C39C9" w:rsidP="009C39C9">
            <w:pPr>
              <w:pStyle w:val="NormalTableau"/>
              <w:jc w:val="center"/>
            </w:pPr>
            <w:r w:rsidRPr="009C39C9">
              <w:t>1 unité de logement (de service)</w:t>
            </w:r>
          </w:p>
        </w:tc>
      </w:tr>
    </w:tbl>
    <w:p w14:paraId="50C946A2" w14:textId="61B70DDE" w:rsidR="009C39C9" w:rsidRDefault="009C39C9" w:rsidP="009C39C9">
      <w:pPr>
        <w:rPr>
          <w:lang w:val="fr-LU"/>
        </w:rPr>
      </w:pPr>
    </w:p>
    <w:p w14:paraId="73FABACF" w14:textId="6FA9B4EA" w:rsidR="009C39C9" w:rsidRPr="009C39C9" w:rsidRDefault="009C39C9" w:rsidP="009C39C9">
      <w:pPr>
        <w:pStyle w:val="Heading2"/>
        <w:rPr>
          <w:lang w:val="fr-LU"/>
        </w:rPr>
      </w:pPr>
      <w:r w:rsidRPr="009C39C9">
        <w:rPr>
          <w:lang w:val="fr-LU"/>
        </w:rPr>
        <w:t>Art. 5.1 Reculs des constructions</w:t>
      </w:r>
    </w:p>
    <w:p w14:paraId="74DD7E5F" w14:textId="4BA02BBB" w:rsidR="009C39C9" w:rsidRPr="009C39C9" w:rsidRDefault="009C39C9" w:rsidP="009C39C9">
      <w:pPr>
        <w:pStyle w:val="Heading3"/>
        <w:rPr>
          <w:lang w:val="fr-LU"/>
        </w:rPr>
      </w:pPr>
      <w:r w:rsidRPr="009C39C9">
        <w:rPr>
          <w:lang w:val="fr-LU"/>
        </w:rPr>
        <w:t>Art. 5.1.1 Recul avant</w:t>
      </w:r>
    </w:p>
    <w:p w14:paraId="7046075B" w14:textId="77777777" w:rsidR="009C39C9" w:rsidRPr="009C39C9" w:rsidRDefault="009C39C9" w:rsidP="009C39C9">
      <w:pPr>
        <w:rPr>
          <w:lang w:val="fr-LU"/>
        </w:rPr>
      </w:pPr>
      <w:r w:rsidRPr="009C39C9">
        <w:rPr>
          <w:lang w:val="fr-LU"/>
        </w:rPr>
        <w:t xml:space="preserve">Toute nouvelle construction pour cette zone doit respecter un recul avant de six mètres (6,00 m) minimum par rapport à la voie </w:t>
      </w:r>
      <w:proofErr w:type="spellStart"/>
      <w:r w:rsidRPr="009C39C9">
        <w:rPr>
          <w:lang w:val="fr-LU"/>
        </w:rPr>
        <w:t>desservante</w:t>
      </w:r>
      <w:proofErr w:type="spellEnd"/>
      <w:r w:rsidRPr="009C39C9">
        <w:rPr>
          <w:lang w:val="fr-LU"/>
        </w:rPr>
        <w:t>.</w:t>
      </w:r>
    </w:p>
    <w:p w14:paraId="49953035" w14:textId="5ABA8943" w:rsidR="009C39C9" w:rsidRPr="009C39C9" w:rsidRDefault="009C39C9" w:rsidP="009C39C9">
      <w:pPr>
        <w:pStyle w:val="Heading3"/>
        <w:rPr>
          <w:lang w:val="fr-LU"/>
        </w:rPr>
      </w:pPr>
      <w:r w:rsidRPr="009C39C9">
        <w:rPr>
          <w:lang w:val="fr-LU"/>
        </w:rPr>
        <w:t>Art. 5.1.1 Recul latéral</w:t>
      </w:r>
    </w:p>
    <w:p w14:paraId="7B674EB9" w14:textId="77777777" w:rsidR="009C39C9" w:rsidRPr="009C39C9" w:rsidRDefault="009C39C9" w:rsidP="009C39C9">
      <w:pPr>
        <w:rPr>
          <w:lang w:val="fr-LU"/>
        </w:rPr>
      </w:pPr>
      <w:r w:rsidRPr="009C39C9">
        <w:rPr>
          <w:lang w:val="fr-LU"/>
        </w:rPr>
        <w:t>Toute nouvelle construction doit être implantée à six mètres (6,00 m) minimum de la limite latérale de propriété.</w:t>
      </w:r>
    </w:p>
    <w:p w14:paraId="4543F782" w14:textId="04162D08" w:rsidR="009C39C9" w:rsidRPr="009C39C9" w:rsidRDefault="009C39C9" w:rsidP="009C39C9">
      <w:pPr>
        <w:pStyle w:val="Heading3"/>
        <w:rPr>
          <w:lang w:val="fr-LU"/>
        </w:rPr>
      </w:pPr>
      <w:r>
        <w:rPr>
          <w:lang w:val="fr-LU"/>
        </w:rPr>
        <w:t>Art. 5.1.2</w:t>
      </w:r>
      <w:r w:rsidRPr="009C39C9">
        <w:rPr>
          <w:lang w:val="fr-LU"/>
        </w:rPr>
        <w:t xml:space="preserve"> Recul arrière</w:t>
      </w:r>
    </w:p>
    <w:p w14:paraId="5B7B0A12" w14:textId="77777777" w:rsidR="009C39C9" w:rsidRPr="009C39C9" w:rsidRDefault="009C39C9" w:rsidP="009C39C9">
      <w:pPr>
        <w:rPr>
          <w:lang w:val="fr-LU"/>
        </w:rPr>
      </w:pPr>
      <w:r w:rsidRPr="009C39C9">
        <w:rPr>
          <w:lang w:val="fr-LU"/>
        </w:rPr>
        <w:t>Toute nouvelle construction, hors sol et sous-sol, doit respecter un recul arrière de six mètres (6,00 m) minimum.</w:t>
      </w:r>
    </w:p>
    <w:p w14:paraId="1A3E3832" w14:textId="61CA41DA" w:rsidR="009C39C9" w:rsidRPr="009C39C9" w:rsidRDefault="009C39C9" w:rsidP="009C39C9">
      <w:pPr>
        <w:pStyle w:val="Heading3"/>
        <w:rPr>
          <w:lang w:val="fr-LU"/>
        </w:rPr>
      </w:pPr>
      <w:r w:rsidRPr="009C39C9">
        <w:rPr>
          <w:lang w:val="fr-LU"/>
        </w:rPr>
        <w:t>Art. 5.1.3 Distance à observer entre les constructions</w:t>
      </w:r>
    </w:p>
    <w:p w14:paraId="5FFE9FF8" w14:textId="77777777" w:rsidR="009C39C9" w:rsidRPr="009C39C9" w:rsidRDefault="009C39C9" w:rsidP="009C39C9">
      <w:pPr>
        <w:rPr>
          <w:lang w:val="fr-LU"/>
        </w:rPr>
      </w:pPr>
      <w:r w:rsidRPr="009C39C9">
        <w:rPr>
          <w:lang w:val="fr-LU"/>
        </w:rPr>
        <w:t>La distance entre construction sise sur une même parcelle est de six mètres (6,00 m) minimum (calculée au point le plus rapproché entre les constructions) sauf en cas de constructions accolées.</w:t>
      </w:r>
    </w:p>
    <w:p w14:paraId="464BC3B6" w14:textId="274D4002" w:rsidR="009C39C9" w:rsidRPr="009C39C9" w:rsidRDefault="009C39C9" w:rsidP="009C39C9">
      <w:pPr>
        <w:pStyle w:val="Heading3"/>
        <w:rPr>
          <w:lang w:val="fr-LU"/>
        </w:rPr>
      </w:pPr>
      <w:r w:rsidRPr="009C39C9">
        <w:rPr>
          <w:lang w:val="fr-LU"/>
        </w:rPr>
        <w:t>Art. 5.1.4 Dérogation</w:t>
      </w:r>
    </w:p>
    <w:p w14:paraId="639FF60E" w14:textId="77777777" w:rsidR="009C39C9" w:rsidRPr="009C39C9" w:rsidRDefault="009C39C9" w:rsidP="009C39C9">
      <w:pPr>
        <w:rPr>
          <w:lang w:val="fr-LU"/>
        </w:rPr>
      </w:pPr>
      <w:r w:rsidRPr="009C39C9">
        <w:rPr>
          <w:lang w:val="fr-LU"/>
        </w:rPr>
        <w:t>Une dérogation peut être accordée ou imposée, si un terrain naturel est en pente, dans les cas où une augmentation ou une diminution du recul s’impose pour des raisons urbanistiques, topographiques, techniques ou de sécurité de la circulation.</w:t>
      </w:r>
    </w:p>
    <w:p w14:paraId="0AAF683B" w14:textId="77777777" w:rsidR="009C39C9" w:rsidRPr="009C39C9" w:rsidRDefault="009C39C9" w:rsidP="009C39C9">
      <w:pPr>
        <w:rPr>
          <w:lang w:val="fr-LU"/>
        </w:rPr>
      </w:pPr>
      <w:r w:rsidRPr="009C39C9">
        <w:rPr>
          <w:lang w:val="fr-LU"/>
        </w:rPr>
        <w:t>Exceptionnellement, dans le cas d'une reconstruction d'un bâtiment, les reculs existants peuvent être maintenus, à condition de garantir un espace de circulation suffisant.</w:t>
      </w:r>
    </w:p>
    <w:p w14:paraId="2197B3F4" w14:textId="5C8E6134" w:rsidR="009C39C9" w:rsidRPr="009C39C9" w:rsidRDefault="009C39C9" w:rsidP="009C39C9">
      <w:pPr>
        <w:pStyle w:val="Heading2"/>
        <w:rPr>
          <w:lang w:val="fr-LU"/>
        </w:rPr>
      </w:pPr>
      <w:r w:rsidRPr="009C39C9">
        <w:rPr>
          <w:lang w:val="fr-LU"/>
        </w:rPr>
        <w:t>Art. 5.2</w:t>
      </w:r>
      <w:bookmarkStart w:id="0" w:name="_GoBack"/>
      <w:bookmarkEnd w:id="0"/>
      <w:r w:rsidRPr="009C39C9">
        <w:rPr>
          <w:lang w:val="fr-LU"/>
        </w:rPr>
        <w:t xml:space="preserve"> Type et disposition des constructions hors sol et sous-sol</w:t>
      </w:r>
    </w:p>
    <w:p w14:paraId="53DF674A" w14:textId="599D5136" w:rsidR="009C39C9" w:rsidRPr="009C39C9" w:rsidRDefault="009C39C9" w:rsidP="009C39C9">
      <w:pPr>
        <w:pStyle w:val="Heading3"/>
        <w:rPr>
          <w:lang w:val="fr-LU"/>
        </w:rPr>
      </w:pPr>
      <w:r w:rsidRPr="009C39C9">
        <w:rPr>
          <w:lang w:val="fr-LU"/>
        </w:rPr>
        <w:t>Art. 5.2.1 Type des constructions</w:t>
      </w:r>
    </w:p>
    <w:p w14:paraId="3C8A5EF2" w14:textId="77777777" w:rsidR="009C39C9" w:rsidRPr="009C39C9" w:rsidRDefault="009C39C9" w:rsidP="009C39C9">
      <w:pPr>
        <w:rPr>
          <w:lang w:val="fr-LU"/>
        </w:rPr>
      </w:pPr>
      <w:r w:rsidRPr="009C39C9">
        <w:rPr>
          <w:lang w:val="fr-LU"/>
        </w:rPr>
        <w:t>Les constructions peuvent être implantées de manière isolée ou groupée.</w:t>
      </w:r>
    </w:p>
    <w:p w14:paraId="23693452" w14:textId="77777777" w:rsidR="009C39C9" w:rsidRPr="009C39C9" w:rsidRDefault="009C39C9" w:rsidP="009C39C9">
      <w:pPr>
        <w:rPr>
          <w:lang w:val="fr-LU"/>
        </w:rPr>
      </w:pPr>
      <w:r w:rsidRPr="009C39C9">
        <w:rPr>
          <w:lang w:val="fr-LU"/>
        </w:rPr>
        <w:lastRenderedPageBreak/>
        <w:t>Les constructions doivent s’intégrer de façon harmonieuse dans le tissu urbain qui les environne.</w:t>
      </w:r>
    </w:p>
    <w:p w14:paraId="1608EF6E" w14:textId="03415F36" w:rsidR="009C39C9" w:rsidRPr="009C39C9" w:rsidRDefault="009C39C9" w:rsidP="009C39C9">
      <w:pPr>
        <w:pStyle w:val="Heading3"/>
        <w:rPr>
          <w:lang w:val="fr-LU"/>
        </w:rPr>
      </w:pPr>
      <w:r w:rsidRPr="009C39C9">
        <w:rPr>
          <w:lang w:val="fr-LU"/>
        </w:rPr>
        <w:t>Art. 5.2.2 Profondeur des constructions</w:t>
      </w:r>
    </w:p>
    <w:p w14:paraId="6FD606EE" w14:textId="77777777" w:rsidR="009C39C9" w:rsidRPr="009C39C9" w:rsidRDefault="009C39C9" w:rsidP="009C39C9">
      <w:pPr>
        <w:rPr>
          <w:lang w:val="fr-LU"/>
        </w:rPr>
      </w:pPr>
      <w:r w:rsidRPr="009C39C9">
        <w:rPr>
          <w:lang w:val="fr-LU"/>
        </w:rPr>
        <w:t>La profondeur des constructions est définie par déduction des reculs avant et arrière de la profondeur totale du terrain.</w:t>
      </w:r>
    </w:p>
    <w:p w14:paraId="00D4CC9B" w14:textId="7DEE3EE1" w:rsidR="009C39C9" w:rsidRPr="009C39C9" w:rsidRDefault="009C39C9" w:rsidP="009C39C9">
      <w:pPr>
        <w:pStyle w:val="Heading2"/>
        <w:rPr>
          <w:lang w:val="fr-LU"/>
        </w:rPr>
      </w:pPr>
      <w:r w:rsidRPr="009C39C9">
        <w:rPr>
          <w:lang w:val="fr-LU"/>
        </w:rPr>
        <w:t>Art. 5.3 Hauteurs des constructions</w:t>
      </w:r>
    </w:p>
    <w:p w14:paraId="7EB9F866" w14:textId="77777777" w:rsidR="009C39C9" w:rsidRPr="009C39C9" w:rsidRDefault="009C39C9" w:rsidP="009C39C9">
      <w:pPr>
        <w:rPr>
          <w:lang w:val="fr-LU"/>
        </w:rPr>
      </w:pPr>
      <w:r w:rsidRPr="009C39C9">
        <w:rPr>
          <w:lang w:val="fr-LU"/>
        </w:rPr>
        <w:t>La hauteur des constructions projetées est définie en fonction des besoins des activités, mais elle doit garantir une intégration harmonieuse des constructions projetées dans le tissu urbain qui les environne.</w:t>
      </w:r>
    </w:p>
    <w:p w14:paraId="3F7B53B2" w14:textId="77777777" w:rsidR="009C39C9" w:rsidRPr="009C39C9" w:rsidRDefault="009C39C9" w:rsidP="009C39C9">
      <w:pPr>
        <w:rPr>
          <w:lang w:val="fr-LU"/>
        </w:rPr>
      </w:pPr>
      <w:r w:rsidRPr="009C39C9">
        <w:rPr>
          <w:lang w:val="fr-LU"/>
        </w:rPr>
        <w:t>La hauteur des constructions ne peut excéder sept mètres cinquante centimètres (7,50 m) à la corniche, onze mètres cinquante centimètres (11,50 m) à l’acrotère et douze mètres (12,00 m) au faitage.</w:t>
      </w:r>
    </w:p>
    <w:p w14:paraId="7946B598" w14:textId="37EF3AA6" w:rsidR="009C39C9" w:rsidRPr="009C39C9" w:rsidRDefault="009C39C9" w:rsidP="009C39C9">
      <w:pPr>
        <w:pStyle w:val="Heading2"/>
        <w:rPr>
          <w:lang w:val="fr-LU"/>
        </w:rPr>
      </w:pPr>
      <w:r w:rsidRPr="009C39C9">
        <w:rPr>
          <w:lang w:val="fr-LU"/>
        </w:rPr>
        <w:t>Art. 5.4 Nombre d’unités de logement par bâtiment</w:t>
      </w:r>
    </w:p>
    <w:p w14:paraId="28B17192" w14:textId="77777777" w:rsidR="009C39C9" w:rsidRPr="009C39C9" w:rsidRDefault="009C39C9" w:rsidP="009C39C9">
      <w:pPr>
        <w:rPr>
          <w:lang w:val="fr-LU"/>
        </w:rPr>
      </w:pPr>
      <w:r w:rsidRPr="009C39C9">
        <w:rPr>
          <w:lang w:val="fr-LU"/>
        </w:rPr>
        <w:t>Les logements sont interdits, à l’exception des logements de service à l’usage du personnel dont la présence permanente est nécessaire pour assurer le fonctionnement ou la surveillance des lieux.</w:t>
      </w:r>
    </w:p>
    <w:p w14:paraId="469BF10A" w14:textId="3A5EB080" w:rsidR="009C39C9" w:rsidRPr="009C39C9" w:rsidRDefault="009C39C9" w:rsidP="009C39C9">
      <w:pPr>
        <w:rPr>
          <w:lang w:val="fr-LU"/>
        </w:rPr>
      </w:pPr>
      <w:r w:rsidRPr="009C39C9">
        <w:rPr>
          <w:lang w:val="fr-LU"/>
        </w:rPr>
        <w:t>Un (1) logement de service maximum est autorisé par bâtiment. Celui-ci peut être isolé ou intégré aux constructions existantes ou projetées. Si la construction est isolée, elle doit respecter les règles du quartier QE HAB-1.</w:t>
      </w:r>
    </w:p>
    <w:sectPr w:rsidR="009C39C9" w:rsidRPr="009C39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785796"/>
    <w:multiLevelType w:val="hybridMultilevel"/>
    <w:tmpl w:val="CB1EF8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122628"/>
    <w:multiLevelType w:val="hybridMultilevel"/>
    <w:tmpl w:val="086432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87019"/>
    <w:rsid w:val="0039622D"/>
    <w:rsid w:val="0047184E"/>
    <w:rsid w:val="00472CA4"/>
    <w:rsid w:val="005E67CB"/>
    <w:rsid w:val="00646426"/>
    <w:rsid w:val="006605E2"/>
    <w:rsid w:val="00705C28"/>
    <w:rsid w:val="00732511"/>
    <w:rsid w:val="007B41C9"/>
    <w:rsid w:val="007B5125"/>
    <w:rsid w:val="008A46DB"/>
    <w:rsid w:val="008E630E"/>
    <w:rsid w:val="009C39C9"/>
    <w:rsid w:val="009D6555"/>
    <w:rsid w:val="00AD269E"/>
    <w:rsid w:val="00AD5B20"/>
    <w:rsid w:val="00C10C63"/>
    <w:rsid w:val="00CB2FE8"/>
    <w:rsid w:val="00CF3132"/>
    <w:rsid w:val="00D21DBE"/>
    <w:rsid w:val="00D35FE3"/>
    <w:rsid w:val="00E22C7F"/>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table" w:customStyle="1" w:styleId="TabellenrasterDM1">
    <w:name w:val="Tabellenraster DM1"/>
    <w:basedOn w:val="TableNormal"/>
    <w:next w:val="TableGrid"/>
    <w:uiPriority w:val="59"/>
    <w:rsid w:val="00E22C7F"/>
    <w:pPr>
      <w:spacing w:after="0" w:line="240" w:lineRule="auto"/>
    </w:pPr>
    <w:rPr>
      <w:lang w:val="lb-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2020-10-09T12:35:00Z</dcterms:modified>
</cp:coreProperties>
</file>