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3C1C9" w14:textId="288C4CAA" w:rsidR="00E22C7F" w:rsidRPr="00E22C7F" w:rsidRDefault="00E22C7F" w:rsidP="00E22C7F">
      <w:pPr>
        <w:pStyle w:val="Heading1"/>
        <w:rPr>
          <w:lang w:val="fr-FR"/>
        </w:rPr>
      </w:pPr>
      <w:r w:rsidRPr="00E22C7F">
        <w:rPr>
          <w:lang w:val="fr-FR"/>
        </w:rPr>
        <w:t xml:space="preserve">Art. 4 Quartier de bâtiments et d’équipements publics </w:t>
      </w:r>
      <w:r>
        <w:rPr>
          <w:lang w:val="fr-FR"/>
        </w:rPr>
        <w:t>« </w:t>
      </w:r>
      <w:r w:rsidRPr="00E22C7F">
        <w:rPr>
          <w:lang w:val="fr-FR"/>
        </w:rPr>
        <w:t>QE BEP</w:t>
      </w:r>
      <w:r>
        <w:rPr>
          <w:lang w:val="fr-FR"/>
        </w:rPr>
        <w:t> »</w:t>
      </w:r>
    </w:p>
    <w:p w14:paraId="23779415" w14:textId="77777777" w:rsidR="00E22C7F" w:rsidRDefault="00E22C7F" w:rsidP="00E22C7F">
      <w:pPr>
        <w:rPr>
          <w:lang w:val="fr-FR"/>
        </w:rPr>
      </w:pPr>
      <w:r w:rsidRPr="00E22C7F">
        <w:rPr>
          <w:lang w:val="fr-FR"/>
        </w:rPr>
        <w:t>Le quartier de bâtiments et d’équipements publics se divisent en deux types de zones</w:t>
      </w:r>
      <w:r>
        <w:rPr>
          <w:lang w:val="fr-FR"/>
        </w:rPr>
        <w:t>:</w:t>
      </w:r>
    </w:p>
    <w:p w14:paraId="471B72CA" w14:textId="77777777" w:rsidR="00E22C7F" w:rsidRDefault="00E22C7F" w:rsidP="00E22C7F">
      <w:pPr>
        <w:pStyle w:val="ListParagraph"/>
        <w:numPr>
          <w:ilvl w:val="0"/>
          <w:numId w:val="8"/>
        </w:numPr>
        <w:rPr>
          <w:lang w:val="fr-FR"/>
        </w:rPr>
      </w:pPr>
      <w:r w:rsidRPr="00E22C7F">
        <w:rPr>
          <w:lang w:val="fr-FR"/>
        </w:rPr>
        <w:t>« QE-BEP »;</w:t>
      </w:r>
    </w:p>
    <w:p w14:paraId="39FB9E10" w14:textId="5A4FEBF1" w:rsidR="00E22C7F" w:rsidRPr="00E22C7F" w:rsidRDefault="00E22C7F" w:rsidP="00E22C7F">
      <w:pPr>
        <w:pStyle w:val="ListParagraph"/>
        <w:numPr>
          <w:ilvl w:val="0"/>
          <w:numId w:val="8"/>
        </w:numPr>
        <w:rPr>
          <w:lang w:val="fr-FR"/>
        </w:rPr>
      </w:pPr>
      <w:r w:rsidRPr="00E22C7F">
        <w:rPr>
          <w:lang w:val="fr-FR"/>
        </w:rPr>
        <w:t>« QE BEP-</w:t>
      </w:r>
      <w:proofErr w:type="spellStart"/>
      <w:r w:rsidRPr="00E22C7F">
        <w:rPr>
          <w:lang w:val="fr-FR"/>
        </w:rPr>
        <w:t>AtCo</w:t>
      </w:r>
      <w:proofErr w:type="spellEnd"/>
      <w:r w:rsidRPr="00E22C7F">
        <w:rPr>
          <w:lang w:val="fr-FR"/>
        </w:rPr>
        <w:t> ».</w:t>
      </w:r>
    </w:p>
    <w:p w14:paraId="5C228D29" w14:textId="251C5BED" w:rsidR="00E22C7F" w:rsidRDefault="002638EC" w:rsidP="00E22C7F">
      <w:pPr>
        <w:pStyle w:val="Heading2"/>
        <w:rPr>
          <w:lang w:val="fr-FR"/>
        </w:rPr>
      </w:pPr>
      <w:r>
        <w:rPr>
          <w:lang w:val="fr-FR"/>
        </w:rPr>
        <w:t>Art. 4.2</w:t>
      </w:r>
      <w:r w:rsidRPr="002638EC">
        <w:rPr>
          <w:lang w:val="fr-FR"/>
        </w:rPr>
        <w:t xml:space="preserve"> Règles applicables pour le quartier de bâtiments et d’équipements publics </w:t>
      </w:r>
      <w:r>
        <w:rPr>
          <w:lang w:val="fr-FR"/>
        </w:rPr>
        <w:t>« QE BEP - AT CO »</w:t>
      </w:r>
    </w:p>
    <w:tbl>
      <w:tblPr>
        <w:tblStyle w:val="TabellenrasterDM11"/>
        <w:tblW w:w="7366" w:type="dxa"/>
        <w:jc w:val="center"/>
        <w:tblLook w:val="04A0" w:firstRow="1" w:lastRow="0" w:firstColumn="1" w:lastColumn="0" w:noHBand="0" w:noVBand="1"/>
      </w:tblPr>
      <w:tblGrid>
        <w:gridCol w:w="2410"/>
        <w:gridCol w:w="11"/>
        <w:gridCol w:w="1916"/>
        <w:gridCol w:w="3029"/>
      </w:tblGrid>
      <w:tr w:rsidR="002638EC" w:rsidRPr="002638EC" w14:paraId="5874FBEA" w14:textId="77777777" w:rsidTr="002638EC">
        <w:trPr>
          <w:jc w:val="center"/>
        </w:trPr>
        <w:tc>
          <w:tcPr>
            <w:tcW w:w="7366" w:type="dxa"/>
            <w:gridSpan w:val="4"/>
            <w:vAlign w:val="center"/>
          </w:tcPr>
          <w:p w14:paraId="142487A8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Prescriptions QE BEP At-Co</w:t>
            </w:r>
          </w:p>
        </w:tc>
      </w:tr>
      <w:tr w:rsidR="002638EC" w:rsidRPr="002638EC" w14:paraId="6F621FA3" w14:textId="77777777" w:rsidTr="002638EC">
        <w:trPr>
          <w:trHeight w:val="301"/>
          <w:jc w:val="center"/>
        </w:trPr>
        <w:tc>
          <w:tcPr>
            <w:tcW w:w="2421" w:type="dxa"/>
            <w:gridSpan w:val="2"/>
            <w:vMerge w:val="restart"/>
            <w:vAlign w:val="center"/>
          </w:tcPr>
          <w:p w14:paraId="1AF12F94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Reculs des constructions par rapport aux limites du terrain à bâtir net et distances à observer entre les constructions</w:t>
            </w:r>
          </w:p>
        </w:tc>
        <w:tc>
          <w:tcPr>
            <w:tcW w:w="1916" w:type="dxa"/>
            <w:vAlign w:val="center"/>
          </w:tcPr>
          <w:p w14:paraId="31BB0600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Avant</w:t>
            </w:r>
          </w:p>
        </w:tc>
        <w:tc>
          <w:tcPr>
            <w:tcW w:w="3029" w:type="dxa"/>
            <w:vAlign w:val="center"/>
          </w:tcPr>
          <w:p w14:paraId="6EE2018B" w14:textId="77777777" w:rsidR="002638EC" w:rsidRPr="002638EC" w:rsidRDefault="002638EC" w:rsidP="002638EC">
            <w:pPr>
              <w:pStyle w:val="NormalTableau"/>
            </w:pPr>
            <w:r w:rsidRPr="002638EC">
              <w:t>Hors-sol et sous-sol : 0,00 m min</w:t>
            </w:r>
          </w:p>
        </w:tc>
      </w:tr>
      <w:tr w:rsidR="002638EC" w:rsidRPr="002638EC" w14:paraId="20D23134" w14:textId="77777777" w:rsidTr="002638EC">
        <w:trPr>
          <w:trHeight w:val="263"/>
          <w:jc w:val="center"/>
        </w:trPr>
        <w:tc>
          <w:tcPr>
            <w:tcW w:w="2421" w:type="dxa"/>
            <w:gridSpan w:val="2"/>
            <w:vMerge/>
            <w:vAlign w:val="center"/>
          </w:tcPr>
          <w:p w14:paraId="2264B105" w14:textId="77777777" w:rsidR="002638EC" w:rsidRPr="002638EC" w:rsidRDefault="002638EC" w:rsidP="002638EC">
            <w:pPr>
              <w:pStyle w:val="NormalTableau"/>
              <w:jc w:val="center"/>
            </w:pPr>
          </w:p>
        </w:tc>
        <w:tc>
          <w:tcPr>
            <w:tcW w:w="1916" w:type="dxa"/>
            <w:vAlign w:val="center"/>
          </w:tcPr>
          <w:p w14:paraId="0BE7C996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Latéral</w:t>
            </w:r>
          </w:p>
        </w:tc>
        <w:tc>
          <w:tcPr>
            <w:tcW w:w="3029" w:type="dxa"/>
            <w:vAlign w:val="center"/>
          </w:tcPr>
          <w:p w14:paraId="562D3EE1" w14:textId="77777777" w:rsidR="002638EC" w:rsidRPr="002638EC" w:rsidRDefault="002638EC" w:rsidP="002638EC">
            <w:pPr>
              <w:pStyle w:val="NormalTableau"/>
            </w:pPr>
            <w:r w:rsidRPr="002638EC">
              <w:t>Hors-sol et sous-sol : 0,00 m min</w:t>
            </w:r>
          </w:p>
        </w:tc>
      </w:tr>
      <w:tr w:rsidR="002638EC" w:rsidRPr="002638EC" w14:paraId="6AB5D2B8" w14:textId="77777777" w:rsidTr="002638EC">
        <w:trPr>
          <w:jc w:val="center"/>
        </w:trPr>
        <w:tc>
          <w:tcPr>
            <w:tcW w:w="2421" w:type="dxa"/>
            <w:gridSpan w:val="2"/>
            <w:vMerge/>
            <w:vAlign w:val="center"/>
          </w:tcPr>
          <w:p w14:paraId="3AB66E35" w14:textId="77777777" w:rsidR="002638EC" w:rsidRPr="002638EC" w:rsidRDefault="002638EC" w:rsidP="002638EC">
            <w:pPr>
              <w:pStyle w:val="NormalTableau"/>
              <w:jc w:val="center"/>
            </w:pPr>
          </w:p>
        </w:tc>
        <w:tc>
          <w:tcPr>
            <w:tcW w:w="1916" w:type="dxa"/>
            <w:vAlign w:val="center"/>
          </w:tcPr>
          <w:p w14:paraId="03AECAB0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Arrière</w:t>
            </w:r>
          </w:p>
        </w:tc>
        <w:tc>
          <w:tcPr>
            <w:tcW w:w="3029" w:type="dxa"/>
            <w:vAlign w:val="center"/>
          </w:tcPr>
          <w:p w14:paraId="63A276D6" w14:textId="77777777" w:rsidR="002638EC" w:rsidRPr="002638EC" w:rsidRDefault="002638EC" w:rsidP="002638EC">
            <w:pPr>
              <w:pStyle w:val="NormalTableau"/>
            </w:pPr>
            <w:r w:rsidRPr="002638EC">
              <w:t>Hors-sol et sous-sol : 5,00 m min</w:t>
            </w:r>
          </w:p>
        </w:tc>
      </w:tr>
      <w:tr w:rsidR="002638EC" w:rsidRPr="002638EC" w14:paraId="009F775D" w14:textId="77777777" w:rsidTr="002638EC">
        <w:trPr>
          <w:trHeight w:val="357"/>
          <w:jc w:val="center"/>
        </w:trPr>
        <w:tc>
          <w:tcPr>
            <w:tcW w:w="2421" w:type="dxa"/>
            <w:gridSpan w:val="2"/>
            <w:vMerge w:val="restart"/>
            <w:vAlign w:val="center"/>
          </w:tcPr>
          <w:p w14:paraId="5C61DB06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Type et disposition des constructions hors sol et sous-sol</w:t>
            </w:r>
          </w:p>
        </w:tc>
        <w:tc>
          <w:tcPr>
            <w:tcW w:w="1916" w:type="dxa"/>
            <w:vAlign w:val="center"/>
          </w:tcPr>
          <w:p w14:paraId="311C4A86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Typologie</w:t>
            </w:r>
          </w:p>
        </w:tc>
        <w:tc>
          <w:tcPr>
            <w:tcW w:w="3029" w:type="dxa"/>
            <w:vAlign w:val="center"/>
          </w:tcPr>
          <w:p w14:paraId="2563CC40" w14:textId="76E5C5FC" w:rsidR="002638EC" w:rsidRPr="002638EC" w:rsidRDefault="002638EC" w:rsidP="002638EC">
            <w:pPr>
              <w:pStyle w:val="NormalTableau"/>
            </w:pPr>
            <w:r>
              <w:t>Construction isolée ou groupée</w:t>
            </w:r>
          </w:p>
        </w:tc>
      </w:tr>
      <w:tr w:rsidR="002638EC" w:rsidRPr="002638EC" w14:paraId="2A3FEBA7" w14:textId="77777777" w:rsidTr="002638EC">
        <w:trPr>
          <w:jc w:val="center"/>
        </w:trPr>
        <w:tc>
          <w:tcPr>
            <w:tcW w:w="2421" w:type="dxa"/>
            <w:gridSpan w:val="2"/>
            <w:vMerge/>
            <w:vAlign w:val="center"/>
          </w:tcPr>
          <w:p w14:paraId="00B2E289" w14:textId="77777777" w:rsidR="002638EC" w:rsidRPr="002638EC" w:rsidRDefault="002638EC" w:rsidP="002638EC">
            <w:pPr>
              <w:pStyle w:val="NormalTableau"/>
              <w:jc w:val="center"/>
            </w:pPr>
          </w:p>
        </w:tc>
        <w:tc>
          <w:tcPr>
            <w:tcW w:w="1916" w:type="dxa"/>
            <w:vAlign w:val="center"/>
          </w:tcPr>
          <w:p w14:paraId="69A95AA4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Profondeur max des constructions</w:t>
            </w:r>
          </w:p>
        </w:tc>
        <w:tc>
          <w:tcPr>
            <w:tcW w:w="3029" w:type="dxa"/>
            <w:vAlign w:val="center"/>
          </w:tcPr>
          <w:p w14:paraId="210725C0" w14:textId="77777777" w:rsidR="002638EC" w:rsidRPr="002638EC" w:rsidRDefault="002638EC" w:rsidP="002638EC">
            <w:pPr>
              <w:pStyle w:val="NormalTableau"/>
            </w:pPr>
            <w:r w:rsidRPr="002638EC">
              <w:t>Aucune profondeur imposée</w:t>
            </w:r>
          </w:p>
        </w:tc>
      </w:tr>
      <w:tr w:rsidR="002638EC" w:rsidRPr="002638EC" w14:paraId="27EFDA10" w14:textId="77777777" w:rsidTr="002638EC">
        <w:trPr>
          <w:trHeight w:val="311"/>
          <w:jc w:val="center"/>
        </w:trPr>
        <w:tc>
          <w:tcPr>
            <w:tcW w:w="2410" w:type="dxa"/>
            <w:vAlign w:val="center"/>
          </w:tcPr>
          <w:p w14:paraId="71402248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Nombre max de niveaux</w:t>
            </w:r>
          </w:p>
        </w:tc>
        <w:tc>
          <w:tcPr>
            <w:tcW w:w="1927" w:type="dxa"/>
            <w:gridSpan w:val="2"/>
            <w:vAlign w:val="center"/>
          </w:tcPr>
          <w:p w14:paraId="44702256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Niv. en sous-sol</w:t>
            </w:r>
          </w:p>
        </w:tc>
        <w:tc>
          <w:tcPr>
            <w:tcW w:w="3029" w:type="dxa"/>
            <w:vAlign w:val="center"/>
          </w:tcPr>
          <w:p w14:paraId="1CE21297" w14:textId="77777777" w:rsidR="002638EC" w:rsidRPr="002638EC" w:rsidRDefault="002638EC" w:rsidP="002638EC">
            <w:pPr>
              <w:pStyle w:val="NormalTableau"/>
            </w:pPr>
            <w:r w:rsidRPr="002638EC">
              <w:t>1 niveaux en sous-sol</w:t>
            </w:r>
          </w:p>
        </w:tc>
      </w:tr>
      <w:tr w:rsidR="002638EC" w:rsidRPr="002638EC" w14:paraId="30ED1110" w14:textId="77777777" w:rsidTr="002638EC">
        <w:trPr>
          <w:trHeight w:val="287"/>
          <w:jc w:val="center"/>
        </w:trPr>
        <w:tc>
          <w:tcPr>
            <w:tcW w:w="2410" w:type="dxa"/>
            <w:vAlign w:val="center"/>
          </w:tcPr>
          <w:p w14:paraId="378D5BEC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Hauteur des constructions</w:t>
            </w:r>
          </w:p>
        </w:tc>
        <w:tc>
          <w:tcPr>
            <w:tcW w:w="1927" w:type="dxa"/>
            <w:gridSpan w:val="2"/>
            <w:vAlign w:val="center"/>
          </w:tcPr>
          <w:p w14:paraId="450C4AD8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Corniche</w:t>
            </w:r>
          </w:p>
        </w:tc>
        <w:tc>
          <w:tcPr>
            <w:tcW w:w="3029" w:type="dxa"/>
            <w:vAlign w:val="center"/>
          </w:tcPr>
          <w:p w14:paraId="03A01FB5" w14:textId="77777777" w:rsidR="002638EC" w:rsidRPr="002638EC" w:rsidRDefault="002638EC" w:rsidP="002638EC">
            <w:pPr>
              <w:pStyle w:val="NormalTableau"/>
            </w:pPr>
            <w:r w:rsidRPr="002638EC">
              <w:t>10,00 m max</w:t>
            </w:r>
          </w:p>
        </w:tc>
      </w:tr>
      <w:tr w:rsidR="002638EC" w:rsidRPr="002638EC" w14:paraId="373C24C3" w14:textId="77777777" w:rsidTr="002638EC">
        <w:trPr>
          <w:trHeight w:val="263"/>
          <w:jc w:val="center"/>
        </w:trPr>
        <w:tc>
          <w:tcPr>
            <w:tcW w:w="4337" w:type="dxa"/>
            <w:gridSpan w:val="3"/>
            <w:vAlign w:val="center"/>
          </w:tcPr>
          <w:p w14:paraId="11B45008" w14:textId="77777777" w:rsidR="002638EC" w:rsidRPr="002638EC" w:rsidRDefault="002638EC" w:rsidP="002638EC">
            <w:pPr>
              <w:pStyle w:val="NormalTableau"/>
              <w:jc w:val="center"/>
            </w:pPr>
            <w:r w:rsidRPr="002638EC">
              <w:t>Couleurs et matériaux en façade</w:t>
            </w:r>
          </w:p>
        </w:tc>
        <w:tc>
          <w:tcPr>
            <w:tcW w:w="3029" w:type="dxa"/>
            <w:vAlign w:val="center"/>
          </w:tcPr>
          <w:p w14:paraId="4D6F05BE" w14:textId="77777777" w:rsidR="002638EC" w:rsidRPr="002638EC" w:rsidRDefault="002638EC" w:rsidP="002638EC">
            <w:pPr>
              <w:pStyle w:val="NormalTableau"/>
            </w:pPr>
            <w:r w:rsidRPr="002638EC">
              <w:t>Bardages de bois</w:t>
            </w:r>
          </w:p>
        </w:tc>
      </w:tr>
    </w:tbl>
    <w:p w14:paraId="4BFF5BA1" w14:textId="24AC5F96" w:rsidR="002638EC" w:rsidRDefault="002638EC" w:rsidP="002638EC">
      <w:pPr>
        <w:rPr>
          <w:lang w:val="fr-FR"/>
        </w:rPr>
      </w:pPr>
    </w:p>
    <w:p w14:paraId="42B90ECD" w14:textId="379771F2" w:rsidR="002638EC" w:rsidRPr="002638EC" w:rsidRDefault="002638EC" w:rsidP="002638EC">
      <w:pPr>
        <w:pStyle w:val="Heading3"/>
        <w:rPr>
          <w:lang w:val="fr-FR"/>
        </w:rPr>
      </w:pPr>
      <w:r w:rsidRPr="002638EC">
        <w:rPr>
          <w:lang w:val="fr-FR"/>
        </w:rPr>
        <w:t>Art. 4.2.1 Recul des constructions</w:t>
      </w:r>
    </w:p>
    <w:p w14:paraId="5079B533" w14:textId="77777777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Les constructions, hors sol et sous-sol, peuvent être implantées avec un recul avant nul (0,00 m).</w:t>
      </w:r>
    </w:p>
    <w:p w14:paraId="6829407D" w14:textId="77777777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Les constructions, hors sol et sous-sol, peuvent être implantées avec un recul latéral nul (0,00 m).</w:t>
      </w:r>
    </w:p>
    <w:p w14:paraId="119BE8E2" w14:textId="77777777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Les constructions, hors sol et sous-sol, doivent respecter un recul arrière de cinq mètres (5,00 m) minimum.</w:t>
      </w:r>
    </w:p>
    <w:p w14:paraId="6C6F9B7A" w14:textId="47FB2116" w:rsidR="002638EC" w:rsidRPr="002638EC" w:rsidRDefault="002638EC" w:rsidP="002638EC">
      <w:pPr>
        <w:pStyle w:val="Heading3"/>
        <w:rPr>
          <w:lang w:val="fr-FR"/>
        </w:rPr>
      </w:pPr>
      <w:r w:rsidRPr="002638EC">
        <w:rPr>
          <w:lang w:val="fr-FR"/>
        </w:rPr>
        <w:t>Art. 4.2.2 Type et disposition des constructions hors sol et sous-sol</w:t>
      </w:r>
    </w:p>
    <w:p w14:paraId="10AC7AFA" w14:textId="77777777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Les constructions peuvent être implantées de manière isolée ou groupée.</w:t>
      </w:r>
    </w:p>
    <w:p w14:paraId="43F692C6" w14:textId="77777777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Aucune profondeur maximale de construction n’est imposée pour les bâtiments et aménagements d’utilité publique.</w:t>
      </w:r>
    </w:p>
    <w:p w14:paraId="1F5857BF" w14:textId="08313079" w:rsidR="002638EC" w:rsidRPr="002638EC" w:rsidRDefault="002638EC" w:rsidP="002638EC">
      <w:pPr>
        <w:pStyle w:val="Heading3"/>
        <w:rPr>
          <w:lang w:val="fr-FR"/>
        </w:rPr>
      </w:pPr>
      <w:r w:rsidRPr="002638EC">
        <w:rPr>
          <w:lang w:val="fr-FR"/>
        </w:rPr>
        <w:t>Art. 4.2.3 Nombre de niveaux en sous-sol</w:t>
      </w:r>
    </w:p>
    <w:p w14:paraId="1B2B05EB" w14:textId="77777777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Un (1) niveau de sous-sol maximum est autorisé.</w:t>
      </w:r>
    </w:p>
    <w:p w14:paraId="6B533F4B" w14:textId="621D3F83" w:rsidR="002638EC" w:rsidRPr="002638EC" w:rsidRDefault="002638EC" w:rsidP="002638EC">
      <w:pPr>
        <w:pStyle w:val="Heading3"/>
        <w:rPr>
          <w:lang w:val="fr-FR"/>
        </w:rPr>
      </w:pPr>
      <w:r w:rsidRPr="002638EC">
        <w:rPr>
          <w:lang w:val="fr-FR"/>
        </w:rPr>
        <w:t>Art. 4.2.4 Hauteurs des constructions</w:t>
      </w:r>
    </w:p>
    <w:p w14:paraId="73B01A00" w14:textId="77777777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La hauteur des constructions ne peut excéder dix mètres (10,00 m) à la corniche.</w:t>
      </w:r>
    </w:p>
    <w:p w14:paraId="1C3B3B85" w14:textId="5C23E367" w:rsidR="002638EC" w:rsidRPr="002638EC" w:rsidRDefault="002638EC" w:rsidP="002638EC">
      <w:pPr>
        <w:pStyle w:val="Heading3"/>
        <w:rPr>
          <w:lang w:val="fr-FR"/>
        </w:rPr>
      </w:pPr>
      <w:r>
        <w:rPr>
          <w:lang w:val="fr-FR"/>
        </w:rPr>
        <w:t>Art. 4.2.5</w:t>
      </w:r>
      <w:r w:rsidRPr="002638EC">
        <w:rPr>
          <w:lang w:val="fr-FR"/>
        </w:rPr>
        <w:t xml:space="preserve"> Couleurs et matériaux en façade en </w:t>
      </w:r>
      <w:r>
        <w:rPr>
          <w:lang w:val="fr-FR"/>
        </w:rPr>
        <w:t>« </w:t>
      </w:r>
      <w:r w:rsidRPr="002638EC">
        <w:rPr>
          <w:lang w:val="fr-FR"/>
        </w:rPr>
        <w:t>QE BEP AT-CO</w:t>
      </w:r>
      <w:r>
        <w:rPr>
          <w:lang w:val="fr-FR"/>
        </w:rPr>
        <w:t> »</w:t>
      </w:r>
      <w:bookmarkStart w:id="0" w:name="_GoBack"/>
      <w:bookmarkEnd w:id="0"/>
    </w:p>
    <w:p w14:paraId="03DBB16C" w14:textId="27670E2C" w:rsidR="002638EC" w:rsidRPr="002638EC" w:rsidRDefault="002638EC" w:rsidP="002638EC">
      <w:pPr>
        <w:rPr>
          <w:lang w:val="fr-FR"/>
        </w:rPr>
      </w:pPr>
      <w:r w:rsidRPr="002638EC">
        <w:rPr>
          <w:lang w:val="fr-FR"/>
        </w:rPr>
        <w:t>Les façades des constructions doivent être couvertes de bardages de bois.</w:t>
      </w:r>
    </w:p>
    <w:sectPr w:rsidR="002638EC" w:rsidRPr="002638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85796"/>
    <w:multiLevelType w:val="hybridMultilevel"/>
    <w:tmpl w:val="CB1EF8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22628"/>
    <w:multiLevelType w:val="hybridMultilevel"/>
    <w:tmpl w:val="086432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F5B6B"/>
    <w:rsid w:val="002638EC"/>
    <w:rsid w:val="00290F8E"/>
    <w:rsid w:val="002D225B"/>
    <w:rsid w:val="00387019"/>
    <w:rsid w:val="0039622D"/>
    <w:rsid w:val="0047184E"/>
    <w:rsid w:val="00472CA4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22C7F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  <w:style w:type="table" w:customStyle="1" w:styleId="TabellenrasterDM1">
    <w:name w:val="Tabellenraster DM1"/>
    <w:basedOn w:val="TableNormal"/>
    <w:next w:val="TableGrid"/>
    <w:uiPriority w:val="59"/>
    <w:rsid w:val="00E22C7F"/>
    <w:pPr>
      <w:spacing w:after="0" w:line="240" w:lineRule="auto"/>
    </w:pPr>
    <w:rPr>
      <w:lang w:val="lb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DM11">
    <w:name w:val="Tabellenraster DM11"/>
    <w:basedOn w:val="TableNormal"/>
    <w:next w:val="TableGrid"/>
    <w:uiPriority w:val="59"/>
    <w:rsid w:val="002638EC"/>
    <w:pPr>
      <w:spacing w:after="0" w:line="240" w:lineRule="auto"/>
    </w:pPr>
    <w:rPr>
      <w:lang w:val="lb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2020-10-09T09:56:00Z</dcterms:modified>
</cp:coreProperties>
</file>