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AEB" w:rsidRPr="00D1206F" w:rsidRDefault="00035AEB" w:rsidP="00035AEB">
      <w:pPr>
        <w:pStyle w:val="Titre1"/>
        <w:rPr>
          <w:lang w:val="fr-LU"/>
        </w:rPr>
      </w:pPr>
      <w:bookmarkStart w:id="0" w:name="_Toc444088556"/>
      <w:bookmarkStart w:id="1" w:name="_Toc441848682"/>
      <w:bookmarkStart w:id="2" w:name="_Toc441061129"/>
      <w:bookmarkStart w:id="3" w:name="_GoBack"/>
      <w:bookmarkEnd w:id="3"/>
      <w:r w:rsidRPr="00D1206F">
        <w:rPr>
          <w:lang w:val="fr-LU"/>
        </w:rPr>
        <w:t>Art. 1</w:t>
      </w:r>
      <w:r w:rsidR="00D1206F" w:rsidRPr="00D1206F">
        <w:rPr>
          <w:lang w:val="fr-LU"/>
        </w:rPr>
        <w:t>1</w:t>
      </w:r>
      <w:r w:rsidRPr="00D1206F">
        <w:rPr>
          <w:lang w:val="fr-LU"/>
        </w:rPr>
        <w:t xml:space="preserve"> Emplacements de stationnement</w:t>
      </w:r>
      <w:bookmarkEnd w:id="0"/>
      <w:bookmarkEnd w:id="1"/>
      <w:bookmarkEnd w:id="2"/>
    </w:p>
    <w:p w:rsidR="00035AEB" w:rsidRPr="00D1206F" w:rsidRDefault="00035AEB" w:rsidP="00035AEB">
      <w:pPr>
        <w:pStyle w:val="Titre2"/>
        <w:rPr>
          <w:lang w:val="fr-LU"/>
        </w:rPr>
      </w:pPr>
      <w:bookmarkStart w:id="4" w:name="_Toc444088557"/>
      <w:bookmarkStart w:id="5" w:name="_Toc441848683"/>
      <w:bookmarkStart w:id="6" w:name="_Toc441061130"/>
      <w:r w:rsidRPr="00D1206F">
        <w:rPr>
          <w:lang w:val="fr-LU"/>
        </w:rPr>
        <w:t>Art. 1</w:t>
      </w:r>
      <w:r w:rsidR="00D1206F" w:rsidRPr="00D1206F">
        <w:rPr>
          <w:lang w:val="fr-LU"/>
        </w:rPr>
        <w:t>1</w:t>
      </w:r>
      <w:r w:rsidRPr="00D1206F">
        <w:rPr>
          <w:lang w:val="fr-LU"/>
        </w:rPr>
        <w:t>.1 Définition du nombre d’emplacements de stationnement</w:t>
      </w:r>
      <w:bookmarkEnd w:id="4"/>
      <w:bookmarkEnd w:id="5"/>
      <w:bookmarkEnd w:id="6"/>
    </w:p>
    <w:p w:rsidR="00D1206F" w:rsidRPr="00D1206F" w:rsidRDefault="00D1206F" w:rsidP="00D1206F">
      <w:pPr>
        <w:rPr>
          <w:lang w:val="fr-LU"/>
        </w:rPr>
      </w:pPr>
      <w:r w:rsidRPr="00D1206F">
        <w:rPr>
          <w:lang w:val="fr-LU"/>
        </w:rPr>
        <w:t>En cas de construction nouvelle, de reconstruction, de changement de destination et de transformation augmentant la surface exploitable de plus de 25m², le nombre minimum d’emplacements requis est défini comme suit (la valeur calculée est arrondie à l’unité supérieure à partir de 0,5) :</w:t>
      </w:r>
    </w:p>
    <w:p w:rsidR="00D1206F" w:rsidRPr="00D1206F" w:rsidRDefault="00D1206F" w:rsidP="00D1206F">
      <w:pPr>
        <w:pStyle w:val="Paragraphedeliste"/>
        <w:numPr>
          <w:ilvl w:val="0"/>
          <w:numId w:val="28"/>
        </w:numPr>
        <w:rPr>
          <w:lang w:val="fr-LU"/>
        </w:rPr>
      </w:pPr>
      <w:r w:rsidRPr="00D1206F">
        <w:rPr>
          <w:b/>
          <w:lang w:val="fr-LU"/>
        </w:rPr>
        <w:t>Deux (2)</w:t>
      </w:r>
      <w:r w:rsidRPr="00D1206F">
        <w:rPr>
          <w:lang w:val="fr-LU"/>
        </w:rPr>
        <w:t xml:space="preserve"> emplacements par logement (dont un au moins sous forme de garage ou de </w:t>
      </w:r>
      <w:proofErr w:type="spellStart"/>
      <w:r w:rsidRPr="00D1206F">
        <w:rPr>
          <w:lang w:val="fr-LU"/>
        </w:rPr>
        <w:t>carport</w:t>
      </w:r>
      <w:proofErr w:type="spellEnd"/>
      <w:r w:rsidRPr="00D1206F">
        <w:rPr>
          <w:lang w:val="fr-LU"/>
        </w:rPr>
        <w:t>) ;</w:t>
      </w:r>
    </w:p>
    <w:p w:rsidR="00D1206F" w:rsidRPr="00D1206F" w:rsidRDefault="00D1206F" w:rsidP="00D1206F">
      <w:pPr>
        <w:pStyle w:val="Paragraphedeliste"/>
        <w:numPr>
          <w:ilvl w:val="0"/>
          <w:numId w:val="28"/>
        </w:numPr>
        <w:rPr>
          <w:lang w:val="fr-LU"/>
        </w:rPr>
      </w:pPr>
      <w:r w:rsidRPr="00D1206F">
        <w:rPr>
          <w:b/>
          <w:lang w:val="fr-LU"/>
        </w:rPr>
        <w:t>Un (1)</w:t>
      </w:r>
      <w:r w:rsidRPr="00D1206F">
        <w:rPr>
          <w:lang w:val="fr-LU"/>
        </w:rPr>
        <w:t xml:space="preserve"> emplacement par tranche de </w:t>
      </w:r>
      <w:r w:rsidRPr="00D1206F">
        <w:rPr>
          <w:b/>
          <w:lang w:val="fr-LU"/>
        </w:rPr>
        <w:t>40m²</w:t>
      </w:r>
      <w:r w:rsidRPr="00D1206F">
        <w:rPr>
          <w:lang w:val="fr-LU"/>
        </w:rPr>
        <w:t xml:space="preserve"> de surface exploitable (aménageable) pour les bureaux et administrations, commerces, cafés et restaurants ;</w:t>
      </w:r>
    </w:p>
    <w:p w:rsidR="00D1206F" w:rsidRPr="00D1206F" w:rsidRDefault="00D1206F" w:rsidP="00D1206F">
      <w:pPr>
        <w:pStyle w:val="Paragraphedeliste"/>
        <w:numPr>
          <w:ilvl w:val="0"/>
          <w:numId w:val="28"/>
        </w:numPr>
        <w:rPr>
          <w:lang w:val="fr-LU"/>
        </w:rPr>
      </w:pPr>
      <w:r w:rsidRPr="00D1206F">
        <w:rPr>
          <w:b/>
          <w:lang w:val="fr-LU"/>
        </w:rPr>
        <w:t>Un (1)</w:t>
      </w:r>
      <w:r w:rsidRPr="00D1206F">
        <w:rPr>
          <w:lang w:val="fr-LU"/>
        </w:rPr>
        <w:t xml:space="preserve"> emplacement par tranche de </w:t>
      </w:r>
      <w:r w:rsidRPr="00D1206F">
        <w:rPr>
          <w:b/>
          <w:lang w:val="fr-LU"/>
        </w:rPr>
        <w:t>80m²</w:t>
      </w:r>
      <w:r w:rsidRPr="00D1206F">
        <w:rPr>
          <w:lang w:val="fr-LU"/>
        </w:rPr>
        <w:t xml:space="preserve"> de surface exploitable (aménageable) ou par tranche de quatre salariés pour les établissements artisanaux, la valeur supérieure obtenue étant d’application ;</w:t>
      </w:r>
    </w:p>
    <w:p w:rsidR="00D1206F" w:rsidRPr="00D1206F" w:rsidRDefault="00D1206F" w:rsidP="00D1206F">
      <w:pPr>
        <w:pStyle w:val="Paragraphedeliste"/>
        <w:numPr>
          <w:ilvl w:val="0"/>
          <w:numId w:val="28"/>
        </w:numPr>
        <w:rPr>
          <w:lang w:val="fr-LU"/>
        </w:rPr>
      </w:pPr>
      <w:r w:rsidRPr="00D1206F">
        <w:rPr>
          <w:b/>
          <w:lang w:val="fr-LU"/>
        </w:rPr>
        <w:t>Un (1)</w:t>
      </w:r>
      <w:r w:rsidRPr="00D1206F">
        <w:rPr>
          <w:lang w:val="fr-LU"/>
        </w:rPr>
        <w:t xml:space="preserve"> emplacement par tranche de </w:t>
      </w:r>
      <w:r w:rsidRPr="00D1206F">
        <w:rPr>
          <w:b/>
          <w:lang w:val="fr-LU"/>
        </w:rPr>
        <w:t>50m²</w:t>
      </w:r>
      <w:r w:rsidRPr="00D1206F">
        <w:rPr>
          <w:lang w:val="fr-LU"/>
        </w:rPr>
        <w:t xml:space="preserve"> de surface exploitable (aménageable) ou par salarié pour les garages de réparation et les stations-service, avec un minimum de </w:t>
      </w:r>
      <w:r w:rsidRPr="00D1206F">
        <w:rPr>
          <w:b/>
          <w:lang w:val="fr-LU"/>
        </w:rPr>
        <w:t>6</w:t>
      </w:r>
      <w:r w:rsidRPr="00D1206F">
        <w:rPr>
          <w:lang w:val="fr-LU"/>
        </w:rPr>
        <w:t xml:space="preserve"> places par établissement ;</w:t>
      </w:r>
    </w:p>
    <w:p w:rsidR="00D1206F" w:rsidRPr="00D1206F" w:rsidRDefault="00D1206F" w:rsidP="00D1206F">
      <w:pPr>
        <w:pStyle w:val="Paragraphedeliste"/>
        <w:numPr>
          <w:ilvl w:val="0"/>
          <w:numId w:val="28"/>
        </w:numPr>
        <w:rPr>
          <w:lang w:val="fr-LU"/>
        </w:rPr>
      </w:pPr>
      <w:r w:rsidRPr="00D1206F">
        <w:rPr>
          <w:b/>
          <w:lang w:val="fr-LU"/>
        </w:rPr>
        <w:t>Un (1)</w:t>
      </w:r>
      <w:r w:rsidRPr="00D1206F">
        <w:rPr>
          <w:lang w:val="fr-LU"/>
        </w:rPr>
        <w:t xml:space="preserve"> emplacement par tranche de </w:t>
      </w:r>
      <w:r w:rsidRPr="00D1206F">
        <w:rPr>
          <w:b/>
          <w:lang w:val="fr-LU"/>
        </w:rPr>
        <w:t>4</w:t>
      </w:r>
      <w:r w:rsidRPr="00D1206F">
        <w:rPr>
          <w:lang w:val="fr-LU"/>
        </w:rPr>
        <w:t xml:space="preserve"> lits pour les constructions hôtelières et similaires ;</w:t>
      </w:r>
    </w:p>
    <w:p w:rsidR="00D1206F" w:rsidRPr="00D1206F" w:rsidRDefault="00D1206F" w:rsidP="00D1206F">
      <w:pPr>
        <w:pStyle w:val="Paragraphedeliste"/>
        <w:numPr>
          <w:ilvl w:val="0"/>
          <w:numId w:val="28"/>
        </w:numPr>
        <w:rPr>
          <w:lang w:val="fr-LU"/>
        </w:rPr>
      </w:pPr>
      <w:r w:rsidRPr="00D1206F">
        <w:rPr>
          <w:b/>
          <w:lang w:val="fr-LU"/>
        </w:rPr>
        <w:t>Un (1)</w:t>
      </w:r>
      <w:r w:rsidRPr="00D1206F">
        <w:rPr>
          <w:lang w:val="fr-LU"/>
        </w:rPr>
        <w:t xml:space="preserve"> emplacement par salle de classe pour les écoles ;</w:t>
      </w:r>
    </w:p>
    <w:p w:rsidR="00D1206F" w:rsidRPr="00D1206F" w:rsidRDefault="00D1206F" w:rsidP="00D1206F">
      <w:pPr>
        <w:pStyle w:val="Paragraphedeliste"/>
        <w:numPr>
          <w:ilvl w:val="0"/>
          <w:numId w:val="28"/>
        </w:numPr>
        <w:rPr>
          <w:lang w:val="fr-LU"/>
        </w:rPr>
      </w:pPr>
      <w:r w:rsidRPr="00D1206F">
        <w:rPr>
          <w:b/>
          <w:lang w:val="fr-LU"/>
        </w:rPr>
        <w:t>Cinq (5)</w:t>
      </w:r>
      <w:r w:rsidRPr="00D1206F">
        <w:rPr>
          <w:lang w:val="fr-LU"/>
        </w:rPr>
        <w:t xml:space="preserve"> emplacements de stationnement pour les crèches jusqu’à </w:t>
      </w:r>
      <w:r w:rsidRPr="00D1206F">
        <w:rPr>
          <w:b/>
          <w:lang w:val="fr-LU"/>
        </w:rPr>
        <w:t>30</w:t>
      </w:r>
      <w:r w:rsidRPr="00D1206F">
        <w:rPr>
          <w:lang w:val="fr-LU"/>
        </w:rPr>
        <w:t xml:space="preserve"> enfants et </w:t>
      </w:r>
      <w:r w:rsidRPr="00D1206F">
        <w:rPr>
          <w:b/>
          <w:lang w:val="fr-LU"/>
        </w:rPr>
        <w:t>un (1)</w:t>
      </w:r>
      <w:r w:rsidRPr="00D1206F">
        <w:rPr>
          <w:lang w:val="fr-LU"/>
        </w:rPr>
        <w:t xml:space="preserve"> emplacement supplémentaire par tranche de </w:t>
      </w:r>
      <w:r w:rsidRPr="00D1206F">
        <w:rPr>
          <w:b/>
          <w:lang w:val="fr-LU"/>
        </w:rPr>
        <w:t>10</w:t>
      </w:r>
      <w:r w:rsidRPr="00D1206F">
        <w:rPr>
          <w:lang w:val="fr-LU"/>
        </w:rPr>
        <w:t xml:space="preserve"> enfants pour les crèches au-delà de </w:t>
      </w:r>
      <w:r w:rsidRPr="00D1206F">
        <w:rPr>
          <w:b/>
          <w:lang w:val="fr-LU"/>
        </w:rPr>
        <w:t>30</w:t>
      </w:r>
      <w:r w:rsidRPr="00D1206F">
        <w:rPr>
          <w:lang w:val="fr-LU"/>
        </w:rPr>
        <w:t xml:space="preserve"> enfants ;</w:t>
      </w:r>
    </w:p>
    <w:p w:rsidR="00D1206F" w:rsidRPr="00D1206F" w:rsidRDefault="00D1206F" w:rsidP="00D1206F">
      <w:pPr>
        <w:pStyle w:val="Paragraphedeliste"/>
        <w:numPr>
          <w:ilvl w:val="0"/>
          <w:numId w:val="28"/>
        </w:numPr>
        <w:rPr>
          <w:lang w:val="fr-LU"/>
        </w:rPr>
      </w:pPr>
      <w:r w:rsidRPr="00D1206F">
        <w:rPr>
          <w:lang w:val="fr-LU"/>
        </w:rPr>
        <w:t xml:space="preserve">Pour les cabinets médicaux, paramédicaux ou autres professions libérales, </w:t>
      </w:r>
      <w:r w:rsidRPr="00D1206F">
        <w:rPr>
          <w:b/>
          <w:lang w:val="fr-LU"/>
        </w:rPr>
        <w:t>trois (3)</w:t>
      </w:r>
      <w:r w:rsidRPr="00D1206F">
        <w:rPr>
          <w:lang w:val="fr-LU"/>
        </w:rPr>
        <w:t xml:space="preserve"> emplacements réservés aux clients par cabinet ;</w:t>
      </w:r>
    </w:p>
    <w:p w:rsidR="00B026D4" w:rsidRPr="00D1206F" w:rsidRDefault="00D1206F" w:rsidP="00D1206F">
      <w:pPr>
        <w:pStyle w:val="Paragraphedeliste"/>
        <w:numPr>
          <w:ilvl w:val="0"/>
          <w:numId w:val="28"/>
        </w:numPr>
        <w:rPr>
          <w:lang w:val="fr-LU"/>
        </w:rPr>
      </w:pPr>
      <w:r w:rsidRPr="00D1206F">
        <w:rPr>
          <w:b/>
          <w:lang w:val="fr-LU"/>
        </w:rPr>
        <w:t>Un (1)</w:t>
      </w:r>
      <w:r w:rsidRPr="00D1206F">
        <w:rPr>
          <w:lang w:val="fr-LU"/>
        </w:rPr>
        <w:t xml:space="preserve"> emplacement par tranche de 6 lits pour les établissements de séjour pour personnes âgées.</w:t>
      </w:r>
    </w:p>
    <w:p w:rsidR="00D1206F" w:rsidRPr="00D1206F" w:rsidRDefault="00D1206F" w:rsidP="00D1206F">
      <w:pPr>
        <w:pStyle w:val="Titre2"/>
        <w:rPr>
          <w:lang w:val="fr-LU"/>
        </w:rPr>
      </w:pPr>
      <w:r w:rsidRPr="00D1206F">
        <w:rPr>
          <w:lang w:val="fr-LU"/>
        </w:rPr>
        <w:t>Art. 11.2</w:t>
      </w:r>
    </w:p>
    <w:p w:rsidR="00D1206F" w:rsidRPr="00D1206F" w:rsidRDefault="00D1206F" w:rsidP="00D1206F">
      <w:pPr>
        <w:rPr>
          <w:b/>
          <w:lang w:val="fr-LU"/>
        </w:rPr>
      </w:pPr>
      <w:r w:rsidRPr="00D1206F">
        <w:rPr>
          <w:b/>
          <w:lang w:val="fr-LU"/>
        </w:rPr>
        <w:t>Par ailleurs, en complément de ce qui précède, il est requis ce qui suit :</w:t>
      </w:r>
    </w:p>
    <w:p w:rsidR="00D1206F" w:rsidRPr="00D1206F" w:rsidRDefault="00D1206F" w:rsidP="00D1206F">
      <w:pPr>
        <w:pStyle w:val="Paragraphedeliste"/>
        <w:numPr>
          <w:ilvl w:val="0"/>
          <w:numId w:val="30"/>
        </w:numPr>
        <w:rPr>
          <w:lang w:val="fr-LU"/>
        </w:rPr>
      </w:pPr>
      <w:r w:rsidRPr="00D1206F">
        <w:rPr>
          <w:lang w:val="fr-LU"/>
        </w:rPr>
        <w:t>Les établissements commerciaux, artisanaux et industriels doivent prévoir en plus sur leur terrain le nombre d’emplacements de stationnement nécessaires à leurs véhicules utilitaires.</w:t>
      </w:r>
    </w:p>
    <w:p w:rsidR="00D1206F" w:rsidRPr="00D1206F" w:rsidRDefault="00D1206F" w:rsidP="00D1206F">
      <w:pPr>
        <w:pStyle w:val="Paragraphedeliste"/>
        <w:numPr>
          <w:ilvl w:val="0"/>
          <w:numId w:val="30"/>
        </w:numPr>
        <w:rPr>
          <w:lang w:val="fr-LU"/>
        </w:rPr>
      </w:pPr>
      <w:r w:rsidRPr="00D1206F">
        <w:rPr>
          <w:lang w:val="fr-LU"/>
        </w:rPr>
        <w:t xml:space="preserve">Les emplacements de stationnement sont aménagés sur le même bienfonds que la construction à laquelle ils se rapportent sauf lorsqu’il peut être démontré l’impossibilité d’aménager en tout ou partie le nombre d’emplacements requis. Dans ce cas, soit le requérant démontre la possibilité d’aménager le nombre d’emplacements requis en situation appropriée dans un rayon de </w:t>
      </w:r>
      <w:r w:rsidRPr="00D1206F">
        <w:rPr>
          <w:b/>
          <w:lang w:val="fr-LU"/>
        </w:rPr>
        <w:t>200m</w:t>
      </w:r>
      <w:r w:rsidRPr="00D1206F">
        <w:rPr>
          <w:lang w:val="fr-LU"/>
        </w:rPr>
        <w:t xml:space="preserve"> autour de son projet, soit le conseil communal fixe une taxe compensatoire ayant pour objet l’aménagement à proximité des emplacements de stationnement manquants </w:t>
      </w:r>
      <w:r w:rsidRPr="00D1206F">
        <w:rPr>
          <w:lang w:val="fr-LU"/>
        </w:rPr>
        <w:lastRenderedPageBreak/>
        <w:t>moyennant un règlement taxe déterminant les conditions à observer ainsi que les montants et modalités de paiement.</w:t>
      </w:r>
    </w:p>
    <w:sectPr w:rsidR="00D1206F" w:rsidRPr="00D1206F" w:rsidSect="00A14C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80000000" w:usb2="00000008" w:usb3="00000000" w:csb0="000101FF" w:csb1="00000000"/>
  </w:font>
  <w:font w:name="Futura Lt BT">
    <w:panose1 w:val="020B0402020204020303"/>
    <w:charset w:val="00"/>
    <w:family w:val="swiss"/>
    <w:pitch w:val="variable"/>
    <w:sig w:usb0="00000087" w:usb1="00000000" w:usb2="00000000" w:usb3="00000000" w:csb0="0000001B"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2" w15:restartNumberingAfterBreak="0">
    <w:nsid w:val="0D5D51E7"/>
    <w:multiLevelType w:val="hybridMultilevel"/>
    <w:tmpl w:val="A8508F98"/>
    <w:lvl w:ilvl="0" w:tplc="9B56ABD6">
      <w:numFmt w:val="bullet"/>
      <w:lvlText w:val="-"/>
      <w:lvlJc w:val="left"/>
      <w:pPr>
        <w:ind w:left="2138" w:hanging="360"/>
      </w:pPr>
      <w:rPr>
        <w:rFonts w:ascii="Arial" w:eastAsia="Times New Roman" w:hAnsi="Arial" w:cs="Aria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 w15:restartNumberingAfterBreak="0">
    <w:nsid w:val="0EA2027F"/>
    <w:multiLevelType w:val="hybridMultilevel"/>
    <w:tmpl w:val="0768A21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5" w15:restartNumberingAfterBreak="0">
    <w:nsid w:val="202C6565"/>
    <w:multiLevelType w:val="hybridMultilevel"/>
    <w:tmpl w:val="46827196"/>
    <w:lvl w:ilvl="0" w:tplc="9B56ABD6">
      <w:numFmt w:val="bullet"/>
      <w:lvlText w:val="-"/>
      <w:lvlJc w:val="left"/>
      <w:pPr>
        <w:ind w:left="720" w:hanging="360"/>
      </w:pPr>
      <w:rPr>
        <w:rFonts w:ascii="Arial" w:eastAsia="Times New Roman"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6"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E455FD"/>
    <w:multiLevelType w:val="hybridMultilevel"/>
    <w:tmpl w:val="226CF856"/>
    <w:lvl w:ilvl="0" w:tplc="140C0001">
      <w:start w:val="1"/>
      <w:numFmt w:val="bullet"/>
      <w:lvlText w:val=""/>
      <w:lvlJc w:val="left"/>
      <w:pPr>
        <w:ind w:left="2138" w:hanging="360"/>
      </w:pPr>
      <w:rPr>
        <w:rFonts w:ascii="Symbol" w:hAnsi="Symbol" w:hint="default"/>
      </w:rPr>
    </w:lvl>
    <w:lvl w:ilvl="1" w:tplc="140C0003" w:tentative="1">
      <w:start w:val="1"/>
      <w:numFmt w:val="bullet"/>
      <w:lvlText w:val="o"/>
      <w:lvlJc w:val="left"/>
      <w:pPr>
        <w:ind w:left="2858" w:hanging="360"/>
      </w:pPr>
      <w:rPr>
        <w:rFonts w:ascii="Courier New" w:hAnsi="Courier New" w:cs="Courier New" w:hint="default"/>
      </w:rPr>
    </w:lvl>
    <w:lvl w:ilvl="2" w:tplc="140C0005">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10" w15:restartNumberingAfterBreak="0">
    <w:nsid w:val="2E0E7B50"/>
    <w:multiLevelType w:val="hybridMultilevel"/>
    <w:tmpl w:val="DE0647DE"/>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427424CD"/>
    <w:multiLevelType w:val="multilevel"/>
    <w:tmpl w:val="0F603A26"/>
    <w:styleLink w:val="LFO1"/>
    <w:lvl w:ilvl="0">
      <w:start w:val="1"/>
      <w:numFmt w:val="decimal"/>
      <w:pStyle w:val="Article"/>
      <w:lvlText w:val="ART. %1"/>
      <w:lvlJc w:val="left"/>
      <w:pPr>
        <w:ind w:left="1361" w:hanging="1361"/>
      </w:pPr>
      <w:rPr>
        <w:rFonts w:ascii="Arial" w:hAnsi="Arial"/>
        <w:b/>
        <w:i w:val="0"/>
        <w:caps/>
        <w:sz w:val="22"/>
      </w:rPr>
    </w:lvl>
    <w:lvl w:ilvl="1">
      <w:start w:val="1"/>
      <w:numFmt w:val="decimal"/>
      <w:pStyle w:val="Sous-article"/>
      <w:lvlText w:val="%1.%2"/>
      <w:lvlJc w:val="left"/>
      <w:pPr>
        <w:ind w:left="576" w:hanging="576"/>
      </w:pPr>
      <w:rPr>
        <w:rFonts w:ascii="Arial" w:hAnsi="Arial"/>
        <w:b/>
        <w:i w:val="0"/>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569310FC"/>
    <w:multiLevelType w:val="hybridMultilevel"/>
    <w:tmpl w:val="6A6404FE"/>
    <w:lvl w:ilvl="0" w:tplc="9B56ABD6">
      <w:numFmt w:val="bullet"/>
      <w:lvlText w:val="-"/>
      <w:lvlJc w:val="left"/>
      <w:pPr>
        <w:ind w:left="1778" w:hanging="360"/>
      </w:pPr>
      <w:rPr>
        <w:rFonts w:ascii="Arial" w:eastAsia="Times New Roman" w:hAnsi="Arial" w:cs="Arial"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3D545208"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8" w15:restartNumberingAfterBreak="0">
    <w:nsid w:val="5CCC5778"/>
    <w:multiLevelType w:val="hybridMultilevel"/>
    <w:tmpl w:val="DE38B33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9" w15:restartNumberingAfterBreak="0">
    <w:nsid w:val="5EC60E35"/>
    <w:multiLevelType w:val="hybridMultilevel"/>
    <w:tmpl w:val="5830B426"/>
    <w:lvl w:ilvl="0" w:tplc="140C0001">
      <w:start w:val="1"/>
      <w:numFmt w:val="bullet"/>
      <w:lvlText w:val=""/>
      <w:lvlJc w:val="left"/>
      <w:pPr>
        <w:ind w:left="2138" w:hanging="360"/>
      </w:pPr>
      <w:rPr>
        <w:rFonts w:ascii="Symbol" w:hAnsi="Symbo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20"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B83C75"/>
    <w:multiLevelType w:val="hybridMultilevel"/>
    <w:tmpl w:val="3212442A"/>
    <w:lvl w:ilvl="0" w:tplc="9B56ABD6">
      <w:numFmt w:val="bullet"/>
      <w:lvlText w:val="-"/>
      <w:lvlJc w:val="left"/>
      <w:pPr>
        <w:ind w:left="720" w:hanging="360"/>
      </w:pPr>
      <w:rPr>
        <w:rFonts w:ascii="Arial" w:eastAsia="Times New Roman"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3"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D204CA"/>
    <w:multiLevelType w:val="hybridMultilevel"/>
    <w:tmpl w:val="5C5C8D10"/>
    <w:lvl w:ilvl="0" w:tplc="140C0001">
      <w:start w:val="1"/>
      <w:numFmt w:val="bullet"/>
      <w:lvlText w:val=""/>
      <w:lvlJc w:val="left"/>
      <w:pPr>
        <w:ind w:left="2138" w:hanging="360"/>
      </w:pPr>
      <w:rPr>
        <w:rFonts w:ascii="Symbol" w:hAnsi="Symbo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25"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7"/>
  </w:num>
  <w:num w:numId="2">
    <w:abstractNumId w:val="7"/>
  </w:num>
  <w:num w:numId="3">
    <w:abstractNumId w:val="15"/>
  </w:num>
  <w:num w:numId="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25"/>
  </w:num>
  <w:num w:numId="7">
    <w:abstractNumId w:val="16"/>
  </w:num>
  <w:num w:numId="8">
    <w:abstractNumId w:val="13"/>
  </w:num>
  <w:num w:numId="9">
    <w:abstractNumId w:val="1"/>
  </w:num>
  <w:num w:numId="10">
    <w:abstractNumId w:val="0"/>
  </w:num>
  <w:num w:numId="11">
    <w:abstractNumId w:val="6"/>
  </w:num>
  <w:num w:numId="12">
    <w:abstractNumId w:val="23"/>
  </w:num>
  <w:num w:numId="13">
    <w:abstractNumId w:val="11"/>
  </w:num>
  <w:num w:numId="14">
    <w:abstractNumId w:val="8"/>
  </w:num>
  <w:num w:numId="15">
    <w:abstractNumId w:val="1"/>
  </w:num>
  <w:num w:numId="16">
    <w:abstractNumId w:val="21"/>
  </w:num>
  <w:num w:numId="17">
    <w:abstractNumId w:val="20"/>
  </w:num>
  <w:num w:numId="18">
    <w:abstractNumId w:val="12"/>
  </w:num>
  <w:num w:numId="19">
    <w:abstractNumId w:val="19"/>
  </w:num>
  <w:num w:numId="20">
    <w:abstractNumId w:val="24"/>
  </w:num>
  <w:num w:numId="21">
    <w:abstractNumId w:val="18"/>
  </w:num>
  <w:num w:numId="22">
    <w:abstractNumId w:val="10"/>
  </w:num>
  <w:num w:numId="23">
    <w:abstractNumId w:val="9"/>
  </w:num>
  <w:num w:numId="24">
    <w:abstractNumId w:val="3"/>
  </w:num>
  <w:num w:numId="25">
    <w:abstractNumId w:val="14"/>
    <w:lvlOverride w:ilvl="0">
      <w:lvl w:ilvl="0">
        <w:start w:val="1"/>
        <w:numFmt w:val="decimal"/>
        <w:pStyle w:val="Article"/>
        <w:lvlText w:val="ART. %1"/>
        <w:lvlJc w:val="left"/>
        <w:pPr>
          <w:ind w:left="1361" w:hanging="1361"/>
        </w:pPr>
        <w:rPr>
          <w:rFonts w:ascii="Arial" w:hAnsi="Arial"/>
          <w:b/>
          <w:i w:val="0"/>
          <w:caps/>
          <w:sz w:val="22"/>
        </w:rPr>
      </w:lvl>
    </w:lvlOverride>
    <w:lvlOverride w:ilvl="1">
      <w:lvl w:ilvl="1">
        <w:start w:val="1"/>
        <w:numFmt w:val="decimal"/>
        <w:pStyle w:val="Sous-article"/>
        <w:lvlText w:val="%1.%2"/>
        <w:lvlJc w:val="left"/>
        <w:pPr>
          <w:ind w:left="576" w:hanging="576"/>
        </w:pPr>
        <w:rPr>
          <w:rFonts w:ascii="Arial" w:hAnsi="Arial"/>
          <w:b/>
          <w:i w:val="0"/>
          <w:sz w:val="20"/>
        </w:rPr>
      </w:lvl>
    </w:lvlOverride>
    <w:lvlOverride w:ilvl="2">
      <w:lvl w:ilvl="2">
        <w:start w:val="1"/>
        <w:numFmt w:val="decimal"/>
        <w:lvlText w:val="%1.%2.%3"/>
        <w:lvlJc w:val="left"/>
        <w:pPr>
          <w:ind w:left="720" w:hanging="720"/>
        </w:pPr>
        <w:rPr>
          <w:b/>
        </w:r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26">
    <w:abstractNumId w:val="14"/>
  </w:num>
  <w:num w:numId="27">
    <w:abstractNumId w:val="17"/>
  </w:num>
  <w:num w:numId="28">
    <w:abstractNumId w:val="22"/>
  </w:num>
  <w:num w:numId="29">
    <w:abstractNumId w:val="2"/>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35AEB"/>
    <w:rsid w:val="00063ACB"/>
    <w:rsid w:val="00201A72"/>
    <w:rsid w:val="00380BB2"/>
    <w:rsid w:val="00380BEF"/>
    <w:rsid w:val="00457A84"/>
    <w:rsid w:val="00506501"/>
    <w:rsid w:val="005600BA"/>
    <w:rsid w:val="006E710D"/>
    <w:rsid w:val="00736425"/>
    <w:rsid w:val="00747001"/>
    <w:rsid w:val="007A2F24"/>
    <w:rsid w:val="008258AC"/>
    <w:rsid w:val="0083477D"/>
    <w:rsid w:val="00890F2B"/>
    <w:rsid w:val="00904D30"/>
    <w:rsid w:val="009108F0"/>
    <w:rsid w:val="00920963"/>
    <w:rsid w:val="00952E72"/>
    <w:rsid w:val="00962A44"/>
    <w:rsid w:val="009678CD"/>
    <w:rsid w:val="00970425"/>
    <w:rsid w:val="00A14C46"/>
    <w:rsid w:val="00AF4C4F"/>
    <w:rsid w:val="00B026D4"/>
    <w:rsid w:val="00B60EBD"/>
    <w:rsid w:val="00B950B3"/>
    <w:rsid w:val="00C05F37"/>
    <w:rsid w:val="00C458FA"/>
    <w:rsid w:val="00C71332"/>
    <w:rsid w:val="00CF70F5"/>
    <w:rsid w:val="00D1206F"/>
    <w:rsid w:val="00E0572B"/>
    <w:rsid w:val="00E257D3"/>
    <w:rsid w:val="00E73019"/>
    <w:rsid w:val="00EC052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CC142B-AD80-464E-9CA0-A744E4506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3019"/>
    <w:pPr>
      <w:spacing w:after="200" w:line="360"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B026D4"/>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B026D4"/>
    <w:rPr>
      <w:rFonts w:ascii="Arial" w:eastAsia="Times New Roman" w:hAnsi="Arial"/>
      <w:bCs/>
    </w:rPr>
  </w:style>
  <w:style w:type="character" w:customStyle="1" w:styleId="Heading7Char">
    <w:name w:val="Heading 7 Char"/>
    <w:rsid w:val="00D1206F"/>
    <w:rPr>
      <w:rFonts w:ascii="Times New Roman" w:eastAsia="Times New Roman" w:hAnsi="Times New Roman" w:cs="Times New Roman"/>
      <w:sz w:val="24"/>
      <w:szCs w:val="24"/>
      <w:lang w:eastAsia="fr-FR"/>
    </w:rPr>
  </w:style>
  <w:style w:type="paragraph" w:customStyle="1" w:styleId="Article">
    <w:name w:val="Article"/>
    <w:basedOn w:val="Normal"/>
    <w:autoRedefine/>
    <w:rsid w:val="00D1206F"/>
    <w:pPr>
      <w:numPr>
        <w:numId w:val="25"/>
      </w:numPr>
      <w:suppressAutoHyphens/>
      <w:autoSpaceDN w:val="0"/>
      <w:spacing w:before="120" w:after="120"/>
      <w:textAlignment w:val="baseline"/>
    </w:pPr>
    <w:rPr>
      <w:rFonts w:ascii="Arial" w:eastAsia="Times New Roman" w:hAnsi="Arial" w:cs="Arial"/>
      <w:b/>
      <w:bCs/>
      <w:caps/>
      <w:szCs w:val="20"/>
      <w:lang w:val="fr-LU" w:eastAsia="fr-FR"/>
    </w:rPr>
  </w:style>
  <w:style w:type="paragraph" w:customStyle="1" w:styleId="Sous-article">
    <w:name w:val="Sous-article"/>
    <w:basedOn w:val="Corpsdetexte"/>
    <w:link w:val="Sous-articleCar"/>
    <w:autoRedefine/>
    <w:rsid w:val="00D1206F"/>
    <w:pPr>
      <w:numPr>
        <w:ilvl w:val="1"/>
        <w:numId w:val="25"/>
      </w:numPr>
      <w:tabs>
        <w:tab w:val="clear" w:pos="1418"/>
        <w:tab w:val="left" w:pos="1440"/>
      </w:tabs>
      <w:spacing w:before="0" w:after="0" w:line="360" w:lineRule="auto"/>
      <w:ind w:left="1418" w:hanging="1418"/>
    </w:pPr>
    <w:rPr>
      <w:rFonts w:cs="Arial"/>
      <w:b/>
      <w:szCs w:val="19"/>
      <w:lang w:val="fr-LU"/>
    </w:rPr>
  </w:style>
  <w:style w:type="numbering" w:customStyle="1" w:styleId="LFO1">
    <w:name w:val="LFO1"/>
    <w:basedOn w:val="Aucuneliste"/>
    <w:rsid w:val="00D1206F"/>
    <w:pPr>
      <w:numPr>
        <w:numId w:val="26"/>
      </w:numPr>
    </w:pPr>
  </w:style>
  <w:style w:type="character" w:customStyle="1" w:styleId="Sous-articleCar">
    <w:name w:val="Sous-article Car"/>
    <w:basedOn w:val="CorpsdetexteCar"/>
    <w:link w:val="Sous-article"/>
    <w:rsid w:val="00D1206F"/>
    <w:rPr>
      <w:rFonts w:ascii="Arial" w:eastAsia="Times New Roman" w:hAnsi="Arial" w:cs="Arial"/>
      <w:b/>
      <w:bCs/>
      <w:szCs w:val="19"/>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384</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Matthieu CRESPIN</cp:lastModifiedBy>
  <cp:revision>5</cp:revision>
  <dcterms:created xsi:type="dcterms:W3CDTF">2016-04-13T12:41:00Z</dcterms:created>
  <dcterms:modified xsi:type="dcterms:W3CDTF">2017-12-21T15:21:00Z</dcterms:modified>
</cp:coreProperties>
</file>