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97C7" w14:textId="484E10C6" w:rsidR="005B324B" w:rsidRDefault="005B324B" w:rsidP="00404C21">
      <w:pPr>
        <w:rPr>
          <w:rFonts w:eastAsiaTheme="majorEastAsia" w:cstheme="majorBidi"/>
          <w:b/>
          <w:sz w:val="28"/>
          <w:szCs w:val="32"/>
          <w:u w:val="single"/>
          <w:lang w:val="fr-FR"/>
        </w:rPr>
      </w:pPr>
      <w:r w:rsidRPr="005B324B">
        <w:rPr>
          <w:rFonts w:eastAsiaTheme="majorEastAsia" w:cstheme="majorBidi"/>
          <w:b/>
          <w:sz w:val="28"/>
          <w:szCs w:val="32"/>
          <w:u w:val="single"/>
          <w:lang w:val="fr-FR"/>
        </w:rPr>
        <w:t>Art. 4</w:t>
      </w:r>
      <w:r w:rsidR="00E73CFE">
        <w:rPr>
          <w:rFonts w:eastAsiaTheme="majorEastAsia" w:cstheme="majorBidi"/>
          <w:b/>
          <w:sz w:val="28"/>
          <w:szCs w:val="32"/>
          <w:u w:val="single"/>
          <w:lang w:val="fr-FR"/>
        </w:rPr>
        <w:t>4</w:t>
      </w:r>
      <w:r w:rsidRPr="005B324B">
        <w:rPr>
          <w:rFonts w:eastAsiaTheme="majorEastAsia" w:cstheme="majorBidi"/>
          <w:b/>
          <w:sz w:val="28"/>
          <w:szCs w:val="32"/>
          <w:u w:val="single"/>
          <w:lang w:val="fr-FR"/>
        </w:rPr>
        <w:t xml:space="preserve"> Les règles applicables à la zone de gares ferroviaires et routières</w:t>
      </w:r>
    </w:p>
    <w:p w14:paraId="5AD38E9E" w14:textId="0284D914" w:rsidR="00404C21" w:rsidRPr="00404C21" w:rsidRDefault="00404C21" w:rsidP="00404C21">
      <w:pPr>
        <w:rPr>
          <w:lang w:val="fr-FR"/>
        </w:rPr>
      </w:pPr>
      <w:r>
        <w:rPr>
          <w:lang w:val="fr-FR"/>
        </w:rPr>
        <w:t xml:space="preserve">(1) </w:t>
      </w:r>
      <w:r w:rsidRPr="00404C21">
        <w:rPr>
          <w:lang w:val="fr-FR"/>
        </w:rPr>
        <w:t>Nombre de logements par bâtiment:</w:t>
      </w:r>
    </w:p>
    <w:p w14:paraId="1FA13B6C" w14:textId="2413055D" w:rsid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sans objet</w:t>
      </w:r>
    </w:p>
    <w:p w14:paraId="56FC0BD2" w14:textId="12FD6F3D" w:rsidR="00404C21" w:rsidRPr="00404C21" w:rsidRDefault="00404C21" w:rsidP="00404C21">
      <w:pPr>
        <w:rPr>
          <w:lang w:val="fr-FR"/>
        </w:rPr>
      </w:pPr>
      <w:r>
        <w:rPr>
          <w:lang w:val="fr-FR"/>
        </w:rPr>
        <w:t xml:space="preserve">(2) </w:t>
      </w:r>
      <w:r w:rsidRPr="00404C21">
        <w:rPr>
          <w:lang w:val="fr-FR"/>
        </w:rPr>
        <w:t>Implantation:</w:t>
      </w:r>
    </w:p>
    <w:p w14:paraId="64758EC1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Les constructions peuvent être implantées en ordre contigu si l’utilisation envisagée l’exige.</w:t>
      </w:r>
    </w:p>
    <w:p w14:paraId="1EA0456F" w14:textId="2AE4E4E0" w:rsid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La construction en deuxième position n’est pas autorisée.</w:t>
      </w:r>
    </w:p>
    <w:p w14:paraId="7FE62FF3" w14:textId="24F3235C" w:rsidR="00404C21" w:rsidRPr="00404C21" w:rsidRDefault="00404C21" w:rsidP="005B324B">
      <w:pPr>
        <w:rPr>
          <w:lang w:val="fr-FR"/>
        </w:rPr>
      </w:pPr>
      <w:r w:rsidRPr="00404C21">
        <w:rPr>
          <w:lang w:val="fr-FR"/>
        </w:rPr>
        <w:t>(3</w:t>
      </w:r>
      <w:r>
        <w:rPr>
          <w:lang w:val="fr-FR"/>
        </w:rPr>
        <w:t xml:space="preserve">) </w:t>
      </w:r>
      <w:r w:rsidRPr="00404C21">
        <w:rPr>
          <w:lang w:val="fr-FR"/>
        </w:rPr>
        <w:t>Reculs des constructions principales hors-sol et en sous-sol:</w:t>
      </w:r>
    </w:p>
    <w:p w14:paraId="150D4C58" w14:textId="57C40A16" w:rsid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Le recul des constructions hors-sol et en sous-sol par rapport aux limites latérales, arriè</w:t>
      </w:r>
      <w:r>
        <w:rPr>
          <w:lang w:val="fr-FR"/>
        </w:rPr>
        <w:t>re et avant est de minimum 5 m.</w:t>
      </w:r>
    </w:p>
    <w:p w14:paraId="30410347" w14:textId="62EB6B1B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(4) </w:t>
      </w:r>
      <w:r w:rsidRPr="005B324B">
        <w:rPr>
          <w:lang w:val="fr-FR"/>
        </w:rPr>
        <w:t>Distances entre les constructions:</w:t>
      </w:r>
    </w:p>
    <w:p w14:paraId="49278E0A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sans objet</w:t>
      </w:r>
    </w:p>
    <w:p w14:paraId="0D80E7E8" w14:textId="2B4627A0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(5) </w:t>
      </w:r>
      <w:r w:rsidRPr="005B324B">
        <w:rPr>
          <w:lang w:val="fr-FR"/>
        </w:rPr>
        <w:t>Construction en sous-sol:</w:t>
      </w:r>
    </w:p>
    <w:p w14:paraId="254D73B1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La construction en sous-sol est autorisée sur un niveau. La hauteur d’étage pour construction en sous-sol est de maximum 3,50 m.</w:t>
      </w:r>
    </w:p>
    <w:p w14:paraId="275C20EC" w14:textId="28C45A38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(6) </w:t>
      </w:r>
      <w:r w:rsidRPr="005B324B">
        <w:rPr>
          <w:lang w:val="fr-FR"/>
        </w:rPr>
        <w:t>Nombre de niveaux par construction:</w:t>
      </w:r>
    </w:p>
    <w:p w14:paraId="1467CC7D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sans objet</w:t>
      </w:r>
    </w:p>
    <w:p w14:paraId="6D1C8736" w14:textId="22845BD4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(7) </w:t>
      </w:r>
      <w:r w:rsidRPr="005B324B">
        <w:rPr>
          <w:lang w:val="fr-FR"/>
        </w:rPr>
        <w:t>Hauteur des constructions:</w:t>
      </w:r>
    </w:p>
    <w:p w14:paraId="7A7C1E78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La hauteur hors tous des constructions, mesurée à partir du niveau naturel du terrain ou du niveau de la voie de déserte, ne peut pas dépasser 8 m.</w:t>
      </w:r>
    </w:p>
    <w:p w14:paraId="06A9EB8A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En cas d’équipements techniques nécessitant des hauteurs plus élevées, la hauteur maximale autorisée peut être adaptée à l’installation en question, sous conditions que les besoins particuliers de l'établissement l'exigent (cheminées, ascenseurs, etc.) et les constructions n'entraînent aucun préjudice pour le voisinage.</w:t>
      </w:r>
    </w:p>
    <w:p w14:paraId="3FBDD00B" w14:textId="317D9B17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(8) </w:t>
      </w:r>
      <w:r w:rsidRPr="005B324B">
        <w:rPr>
          <w:lang w:val="fr-FR"/>
        </w:rPr>
        <w:t>Profondeur de construction:</w:t>
      </w:r>
    </w:p>
    <w:p w14:paraId="6FE317B3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La profondeur des constructions est au maximum de 14 m.</w:t>
      </w:r>
    </w:p>
    <w:p w14:paraId="761128D5" w14:textId="06768B67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(9) </w:t>
      </w:r>
      <w:r w:rsidRPr="005B324B">
        <w:rPr>
          <w:lang w:val="fr-FR"/>
        </w:rPr>
        <w:t>Les clôtures:</w:t>
      </w:r>
    </w:p>
    <w:p w14:paraId="0B58687F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Les limites des voies ferrées peuvent être clôturées pour raison de sécurité.</w:t>
      </w:r>
    </w:p>
    <w:p w14:paraId="59AD8004" w14:textId="4DC7E10A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(10) </w:t>
      </w:r>
      <w:r w:rsidRPr="005B324B">
        <w:rPr>
          <w:lang w:val="fr-FR"/>
        </w:rPr>
        <w:t>Emplacements de stationnement:</w:t>
      </w:r>
    </w:p>
    <w:p w14:paraId="22F61200" w14:textId="7014F5E9" w:rsidR="005E67CB" w:rsidRPr="006605E2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sans objet</w:t>
      </w:r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702172">
    <w:abstractNumId w:val="3"/>
  </w:num>
  <w:num w:numId="2" w16cid:durableId="1765958573">
    <w:abstractNumId w:val="4"/>
  </w:num>
  <w:num w:numId="3" w16cid:durableId="2008484560">
    <w:abstractNumId w:val="5"/>
  </w:num>
  <w:num w:numId="4" w16cid:durableId="957643782">
    <w:abstractNumId w:val="0"/>
  </w:num>
  <w:num w:numId="5" w16cid:durableId="1055742451">
    <w:abstractNumId w:val="1"/>
  </w:num>
  <w:num w:numId="6" w16cid:durableId="151218700">
    <w:abstractNumId w:val="2"/>
  </w:num>
  <w:num w:numId="7" w16cid:durableId="2122257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F5B6B"/>
    <w:rsid w:val="00290F8E"/>
    <w:rsid w:val="002D225B"/>
    <w:rsid w:val="00387019"/>
    <w:rsid w:val="0039622D"/>
    <w:rsid w:val="00404C21"/>
    <w:rsid w:val="0047184E"/>
    <w:rsid w:val="00472CA4"/>
    <w:rsid w:val="005B324B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E73CFE"/>
    <w:rsid w:val="00E90D8B"/>
    <w:rsid w:val="00EB23F4"/>
    <w:rsid w:val="00EB27A1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2024-08-23T12:51:00Z</dcterms:modified>
</cp:coreProperties>
</file>