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FD600" w14:textId="77777777" w:rsidR="001537DB" w:rsidRDefault="001537DB" w:rsidP="001537DB">
      <w:pPr>
        <w:pStyle w:val="Heading1"/>
      </w:pPr>
      <w:r>
        <w:t>Art. 11 Zones de gares ferroviaires et routières [GARE]</w:t>
      </w:r>
    </w:p>
    <w:p w14:paraId="279C6750" w14:textId="08D4D184" w:rsidR="00375569" w:rsidRPr="007D461A" w:rsidRDefault="001537DB" w:rsidP="001537DB">
      <w:r>
        <w:t>Les zones de gares ferroviaires et routières englobent des bâtiments, infrastructures et installations en relation avec les activités ferroviaires et routières. Sont également admis les services administratifs et professionnels ainsi que les activités compatibles avec la destination de la zone.</w:t>
      </w:r>
      <w:bookmarkStart w:id="0" w:name="_GoBack"/>
      <w:bookmarkEnd w:id="0"/>
    </w:p>
    <w:sectPr w:rsidR="0037556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537DB"/>
    <w:rsid w:val="00375569"/>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2023-10-23T07:12:00Z</dcterms:modified>
</cp:coreProperties>
</file>