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B32B16" w14:textId="77777777" w:rsidR="00C11A5C" w:rsidRDefault="00C11A5C" w:rsidP="00C11A5C">
      <w:pPr>
        <w:pStyle w:val="Heading2"/>
      </w:pPr>
      <w:r>
        <w:t>Art. 19.2 Les éléments protégés d’intérêt communal de type « environnement construit »</w:t>
      </w:r>
    </w:p>
    <w:p w14:paraId="1FFE0A4C" w14:textId="27F873D4" w:rsidR="0077090A" w:rsidRDefault="00C11A5C" w:rsidP="00C11A5C">
      <w:pPr>
        <w:rPr>
          <w:u w:val="single"/>
        </w:rPr>
      </w:pPr>
      <w:r>
        <w:rPr>
          <w:u w:val="single"/>
        </w:rPr>
        <w:t>Dispositions générales</w:t>
      </w:r>
      <w:bookmarkStart w:id="0" w:name="_GoBack"/>
      <w:bookmarkEnd w:id="0"/>
    </w:p>
    <w:p w14:paraId="450A6D7C" w14:textId="77777777" w:rsidR="00C11A5C" w:rsidRDefault="00C11A5C" w:rsidP="00C11A5C">
      <w:pPr>
        <w:ind w:left="720"/>
      </w:pPr>
      <w:r>
        <w:t>Les éléments protégés d’intérêt communal se distinguent selon les catégories suivantes:</w:t>
      </w:r>
    </w:p>
    <w:p w14:paraId="3C17190C" w14:textId="77777777" w:rsidR="00C11A5C" w:rsidRDefault="00C11A5C" w:rsidP="00C11A5C">
      <w:pPr>
        <w:pStyle w:val="ListParagraph"/>
        <w:numPr>
          <w:ilvl w:val="0"/>
          <w:numId w:val="7"/>
        </w:numPr>
      </w:pPr>
      <w:r>
        <w:t>Les « constructions à conserver »</w:t>
      </w:r>
    </w:p>
    <w:p w14:paraId="5D28A385" w14:textId="77777777" w:rsidR="00C11A5C" w:rsidRDefault="00C11A5C" w:rsidP="00C11A5C">
      <w:pPr>
        <w:pStyle w:val="ListParagraph"/>
        <w:numPr>
          <w:ilvl w:val="0"/>
          <w:numId w:val="7"/>
        </w:numPr>
      </w:pPr>
      <w:r>
        <w:t>Les « gabarits à préserver »</w:t>
      </w:r>
    </w:p>
    <w:p w14:paraId="7B160E10" w14:textId="77777777" w:rsidR="00C11A5C" w:rsidRDefault="00C11A5C" w:rsidP="00C11A5C">
      <w:pPr>
        <w:pStyle w:val="ListParagraph"/>
        <w:numPr>
          <w:ilvl w:val="0"/>
          <w:numId w:val="7"/>
        </w:numPr>
      </w:pPr>
      <w:r>
        <w:t>Le « petit patrimoine à conserver »</w:t>
      </w:r>
    </w:p>
    <w:p w14:paraId="18267978" w14:textId="77777777" w:rsidR="00C11A5C" w:rsidRDefault="00C11A5C" w:rsidP="00C11A5C">
      <w:pPr>
        <w:ind w:left="720"/>
      </w:pPr>
      <w:r>
        <w:t>Les éléments protégés d’intérêt communal peuvent comprendre des immeubles entiers ou des parties d’immeubles, et peuvent être situés ou non dans un secteur protégé de type « environnement construit », en zone urbanisée ou en zone verte.</w:t>
      </w:r>
    </w:p>
    <w:p w14:paraId="170EBB9A" w14:textId="77777777" w:rsidR="00C11A5C" w:rsidRDefault="00C11A5C" w:rsidP="00C11A5C">
      <w:pPr>
        <w:ind w:left="720"/>
      </w:pPr>
      <w:r>
        <w:t>Au nom de l’intérêt général, et en respect du présent article, l’appréciation des éléments à protéger doit être confirmée à chaque fois qu’un projet concerne un ou plusieurs de ces éléments.</w:t>
      </w:r>
    </w:p>
    <w:p w14:paraId="3D046417" w14:textId="67E9B92A" w:rsidR="001C3DF3" w:rsidRPr="001C3DF3" w:rsidRDefault="001C3DF3" w:rsidP="001C3DF3">
      <w:pPr>
        <w:rPr>
          <w:u w:val="single"/>
        </w:rPr>
      </w:pPr>
      <w:r w:rsidRPr="001C3DF3">
        <w:rPr>
          <w:u w:val="single"/>
        </w:rPr>
        <w:t xml:space="preserve">Prescriptions spécifiques relatives aux </w:t>
      </w:r>
      <w:r>
        <w:rPr>
          <w:u w:val="single"/>
        </w:rPr>
        <w:t>« </w:t>
      </w:r>
      <w:r w:rsidRPr="001C3DF3">
        <w:rPr>
          <w:u w:val="single"/>
        </w:rPr>
        <w:t>gabarits à préserver</w:t>
      </w:r>
      <w:r>
        <w:rPr>
          <w:u w:val="single"/>
        </w:rPr>
        <w:t> »</w:t>
      </w:r>
    </w:p>
    <w:p w14:paraId="1AF66DB6" w14:textId="789C4912" w:rsidR="001C3DF3" w:rsidRDefault="001C3DF3" w:rsidP="001C3DF3">
      <w:r>
        <w:t>Les gabarits d’une construction existante à préserver sont indiqués sur la partie graphique du PAG et, à titre indicatif, la liste des éléments protégés est annexée au présent document.</w:t>
      </w:r>
    </w:p>
    <w:p w14:paraId="5E820F02" w14:textId="73CDDF45" w:rsidR="001C3DF3" w:rsidRDefault="001C3DF3" w:rsidP="001C3DF3">
      <w:r>
        <w:t>Les « gabarits à préserver » veillent au maintien du caractère rural du tissu urbain des localités par la structuration des rues et la formation d’espaces-rues. Pour les bâtiments désignés « gabarits à préserver », leur gabarit et leur implantation sont à conserver lors de travaux de transformation ou lors d’une reconstruction.</w:t>
      </w:r>
    </w:p>
    <w:p w14:paraId="420511D9" w14:textId="031D793F" w:rsidR="001C3DF3" w:rsidRDefault="001C3DF3" w:rsidP="001C3DF3">
      <w:r>
        <w:t>Le « gabarit à préserver » est constitué par le ou les bâtiments traditionnels, à savoir la maison d’habitation et/ou les communs. Les volumes secondaires atypiques ainsi que toutes les excroissances atypiques ne sont pas à considérer comme « gabarit à préserver ».</w:t>
      </w:r>
    </w:p>
    <w:p w14:paraId="79791304" w14:textId="00639297" w:rsidR="001C3DF3" w:rsidRDefault="001C3DF3" w:rsidP="001C3DF3">
      <w:r>
        <w:t>Pour tous travaux, y compris les travaux de reconstruction, les gabarits existants sont à respecter, à savoir:</w:t>
      </w:r>
    </w:p>
    <w:p w14:paraId="3EEF5088" w14:textId="77777777" w:rsidR="001C3DF3" w:rsidRDefault="001C3DF3" w:rsidP="001C3DF3">
      <w:pPr>
        <w:pStyle w:val="ListParagraph"/>
        <w:numPr>
          <w:ilvl w:val="0"/>
          <w:numId w:val="8"/>
        </w:numPr>
      </w:pPr>
      <w:r>
        <w:t xml:space="preserve">L’implantation générale de la construction, notamment son l’alignement par rapport à la voie </w:t>
      </w:r>
      <w:proofErr w:type="spellStart"/>
      <w:r>
        <w:t>desservante</w:t>
      </w:r>
      <w:proofErr w:type="spellEnd"/>
      <w:r>
        <w:t>,</w:t>
      </w:r>
    </w:p>
    <w:p w14:paraId="478A2C59" w14:textId="77777777" w:rsidR="001C3DF3" w:rsidRDefault="001C3DF3" w:rsidP="001C3DF3">
      <w:pPr>
        <w:pStyle w:val="ListParagraph"/>
        <w:numPr>
          <w:ilvl w:val="0"/>
          <w:numId w:val="8"/>
        </w:numPr>
      </w:pPr>
      <w:r>
        <w:t>Les longueurs et profondeurs,</w:t>
      </w:r>
    </w:p>
    <w:p w14:paraId="5F684246" w14:textId="77777777" w:rsidR="001C3DF3" w:rsidRDefault="001C3DF3" w:rsidP="001C3DF3">
      <w:pPr>
        <w:pStyle w:val="ListParagraph"/>
        <w:numPr>
          <w:ilvl w:val="0"/>
          <w:numId w:val="8"/>
        </w:numPr>
      </w:pPr>
      <w:r>
        <w:t>Les hauteurs à la corniche et au faitage,</w:t>
      </w:r>
    </w:p>
    <w:p w14:paraId="5016C130" w14:textId="44F3FE1C" w:rsidR="001C3DF3" w:rsidRDefault="001C3DF3" w:rsidP="001C3DF3">
      <w:pPr>
        <w:pStyle w:val="ListParagraph"/>
        <w:numPr>
          <w:ilvl w:val="0"/>
          <w:numId w:val="8"/>
        </w:numPr>
      </w:pPr>
      <w:r>
        <w:t>Les pentes et formes de toiture (lucarnes non comprises).</w:t>
      </w:r>
    </w:p>
    <w:p w14:paraId="33A4F707" w14:textId="0F660294" w:rsidR="001C3DF3" w:rsidRDefault="001C3DF3" w:rsidP="001C3DF3">
      <w:r>
        <w:t>Des saillies et des retraits (balcons, loggias...) par rapport aux façades donnant sur le domaine public d’un « gabarit à préserver » sont interdits. Ils peuvent donc être autorisés sur les façades arrières si cela ne nuit pas au maintien du caractère rural de l’espace-rue.</w:t>
      </w:r>
    </w:p>
    <w:p w14:paraId="52A92DAA" w14:textId="3251B979" w:rsidR="001C3DF3" w:rsidRDefault="001C3DF3" w:rsidP="001C3DF3">
      <w:r>
        <w:t xml:space="preserve">La construction d'extensions et de dépendances peut être autorisée sur au maximum un niveau plein situé au rez-de-chaussée, sous condition qu'elles restent visibles comme ajouts </w:t>
      </w:r>
      <w:r>
        <w:lastRenderedPageBreak/>
        <w:t>tardifs, adoptent un langage architectural contemporain et créent une composition harmonieuse avec le « gabarit à préserver ».</w:t>
      </w:r>
    </w:p>
    <w:p w14:paraId="0BCAB497" w14:textId="32C7DFFE" w:rsidR="001C3DF3" w:rsidRDefault="001C3DF3" w:rsidP="001C3DF3">
      <w:r>
        <w:t>Le percement d’ouvertures en toiture est autorisé pour autant qu’elles s’intègrent harmonieusement au « gabarit à préserver ».</w:t>
      </w:r>
    </w:p>
    <w:p w14:paraId="6C03886F" w14:textId="3DB2D3DB" w:rsidR="001C3DF3" w:rsidRDefault="001C3DF3" w:rsidP="001C3DF3">
      <w:r>
        <w:t xml:space="preserve">Des modifications du gabarit initial d’une amplitude maximale de 0,50 mètre peuvent exceptionnellement être autorisées si elles améliorent l’habitabilité de la construction d’origine, ainsi que pour la mise en </w:t>
      </w:r>
      <w:proofErr w:type="spellStart"/>
      <w:r>
        <w:t>oeuvre</w:t>
      </w:r>
      <w:proofErr w:type="spellEnd"/>
      <w:r>
        <w:t xml:space="preserve"> de mesures d’ordre technique (statique, performance énergétique, étanchéité ou sécurité des constructions) et de sécurité de la circulation, lorsque la situation existante ne convient pas à l’exécution des améliorations visées. Ces modifications doivent être dûment justifiées et se faire dans le respect des hiérarchies entre volumes du « gabarit à préserver ». En ce sens, la hauteur à la corniche des gabarits de granges doit rester inférieure à la hauteur à la corniche des corps de logis.</w:t>
      </w:r>
    </w:p>
    <w:p w14:paraId="3C60F753" w14:textId="3C86E751" w:rsidR="001C3DF3" w:rsidRDefault="001C3DF3" w:rsidP="001C3DF3">
      <w:r>
        <w:t>Toute demande d’autorisation de construire concernant un « gabarit à préserver » doit être accompagnée:</w:t>
      </w:r>
    </w:p>
    <w:p w14:paraId="0018203C" w14:textId="77777777" w:rsidR="001C3DF3" w:rsidRDefault="001C3DF3" w:rsidP="001C3DF3">
      <w:pPr>
        <w:pStyle w:val="ListParagraph"/>
        <w:numPr>
          <w:ilvl w:val="0"/>
          <w:numId w:val="9"/>
        </w:numPr>
      </w:pPr>
      <w:r>
        <w:t>D’un levé topographique selon les coordonnées nationales, réalisé par un géomètre officiel, qui définit de manière précise les limites cadastrales ainsi que l’implantation du bâti existant par rapport à ces limites;</w:t>
      </w:r>
    </w:p>
    <w:p w14:paraId="38FDEE07" w14:textId="47BD27A8" w:rsidR="006605E2" w:rsidRPr="007D461A" w:rsidRDefault="001C3DF3" w:rsidP="00441512">
      <w:pPr>
        <w:pStyle w:val="ListParagraph"/>
        <w:numPr>
          <w:ilvl w:val="0"/>
          <w:numId w:val="9"/>
        </w:numPr>
      </w:pPr>
      <w:r>
        <w:t>D’un levé architectural, réalisé par un géomètre officiel ou par un architecte, qui définit de manière précise le gabarit du bâtiment.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A72F2"/>
    <w:multiLevelType w:val="hybridMultilevel"/>
    <w:tmpl w:val="EF264B10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6626BB"/>
    <w:multiLevelType w:val="hybridMultilevel"/>
    <w:tmpl w:val="F844E998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D380184"/>
    <w:multiLevelType w:val="hybridMultilevel"/>
    <w:tmpl w:val="9E8A7FAA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C3DF3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7090A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11A5C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565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2024-03-12T14:36:00Z</dcterms:modified>
</cp:coreProperties>
</file>