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8CFD359" w:rsidR="006605E2" w:rsidRPr="00B237FE" w:rsidRDefault="00B237FE" w:rsidP="00B237FE">
      <w:pPr>
        <w:pStyle w:val="Heading1"/>
        <w:rPr>
          <w:lang w:val="fr-FR"/>
        </w:rPr>
      </w:pPr>
      <w:r w:rsidRPr="00B237FE">
        <w:rPr>
          <w:lang w:val="fr-FR"/>
        </w:rPr>
        <w:t>Art. 20 Zones de bruit</w:t>
      </w:r>
    </w:p>
    <w:p w14:paraId="2DCEF992" w14:textId="282C5A07" w:rsidR="00507AE7" w:rsidRPr="00B237FE" w:rsidRDefault="00B237FE" w:rsidP="00B237FE">
      <w:pPr>
        <w:rPr>
          <w:lang w:val="fr-FR"/>
        </w:rPr>
      </w:pPr>
      <w:r w:rsidRPr="00B237FE">
        <w:rPr>
          <w:lang w:val="fr-FR"/>
        </w:rPr>
        <w:t>Les zones de bruit comprennent toutes les parties du territoire communal affectées par des</w:t>
      </w:r>
      <w:r>
        <w:rPr>
          <w:lang w:val="fr-FR"/>
        </w:rPr>
        <w:t xml:space="preserve"> </w:t>
      </w:r>
      <w:r w:rsidRPr="00B237FE">
        <w:rPr>
          <w:lang w:val="fr-FR"/>
        </w:rPr>
        <w:t>nuisances phoniques importantes résultant du trafic aérien, routier ou ferroviaire ainsi que des</w:t>
      </w:r>
      <w:r>
        <w:rPr>
          <w:lang w:val="fr-FR"/>
        </w:rPr>
        <w:t xml:space="preserve"> </w:t>
      </w:r>
      <w:r w:rsidRPr="00B237FE">
        <w:rPr>
          <w:lang w:val="fr-FR"/>
        </w:rPr>
        <w:t>activités économiques. Ces zones sont soumises à des servitudes spéciales.</w:t>
      </w:r>
      <w:bookmarkStart w:id="0" w:name="_GoBack"/>
      <w:bookmarkEnd w:id="0"/>
    </w:p>
    <w:sectPr w:rsidR="00507AE7" w:rsidRPr="00B23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07AE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237FE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2024-03-12T14:40:00Z</dcterms:modified>
</cp:coreProperties>
</file>