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04002E44" w14:textId="6E991C6D" w:rsidR="006D5B60" w:rsidRPr="006D5B60" w:rsidRDefault="00F0585D" w:rsidP="006D5B60">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50D6AF0B" w:rsidR="006605E2" w:rsidRDefault="00F0585D" w:rsidP="00F0585D">
      <w:pPr>
        <w:pStyle w:val="ListParagraph"/>
        <w:numPr>
          <w:ilvl w:val="0"/>
          <w:numId w:val="9"/>
        </w:numPr>
      </w:pPr>
      <w:r>
        <w:t>« Corridor de déplacement » (CD)</w:t>
      </w:r>
    </w:p>
    <w:p w14:paraId="7D8D72B4" w14:textId="5AE791CF" w:rsidR="00212FC3" w:rsidRDefault="00212FC3" w:rsidP="00212FC3">
      <w:pPr>
        <w:pStyle w:val="Heading2"/>
      </w:pPr>
      <w:r>
        <w:t>Art. 17.3 Servitude « urbanisation – Equipement » (E)</w:t>
      </w:r>
    </w:p>
    <w:p w14:paraId="57060B57" w14:textId="4683BB8F" w:rsidR="00212FC3" w:rsidRPr="007D461A" w:rsidRDefault="00212FC3" w:rsidP="00212FC3">
      <w:r>
        <w:t>La servitude « urbanisation – Equipement » vise à garantir, en cas de places à bâtir ou de nouvelles unités affectées à l’habitation ou à toute autre affectation sur la zone concernée, des infrastructures publiques (réseaux) d’une capacité suffisante permettant de respecter les dispositions légales en vigueur. Avant toute autorisation de bâtir, en cas de capacité insuffisante des réseaux existants, une prise en charge des coûts de mise en conformité sera exigée auprès du demandeur. Un règlement taxe définira par ailleurs la contribution au raccordement et à l’utilisation des différents réseaux publics de chaque nouvelle construction sur la zone.</w:t>
      </w:r>
    </w:p>
    <w:sectPr w:rsidR="00212FC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5"/>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2FC3"/>
    <w:rsid w:val="00387019"/>
    <w:rsid w:val="0039622D"/>
    <w:rsid w:val="00397462"/>
    <w:rsid w:val="003A681A"/>
    <w:rsid w:val="005D1D9B"/>
    <w:rsid w:val="006605E2"/>
    <w:rsid w:val="006653E2"/>
    <w:rsid w:val="006B0ABB"/>
    <w:rsid w:val="006D5B60"/>
    <w:rsid w:val="00720738"/>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2024-03-12T14:39:00Z</dcterms:modified>
</cp:coreProperties>
</file>