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38CB733E" w14:textId="5298522D" w:rsidR="004F3216" w:rsidRPr="004F3216" w:rsidRDefault="00F0585D" w:rsidP="004F3216">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429F183C" w:rsidR="006605E2" w:rsidRDefault="00F0585D" w:rsidP="00F0585D">
      <w:pPr>
        <w:pStyle w:val="ListParagraph"/>
        <w:numPr>
          <w:ilvl w:val="0"/>
          <w:numId w:val="9"/>
        </w:numPr>
      </w:pPr>
      <w:r>
        <w:t>« Corridor de déplacement » (CD)</w:t>
      </w:r>
    </w:p>
    <w:p w14:paraId="7C20775F" w14:textId="13F5011D" w:rsidR="00C118EB" w:rsidRDefault="00C118EB" w:rsidP="00C118EB">
      <w:pPr>
        <w:pStyle w:val="Heading2"/>
      </w:pPr>
      <w:r>
        <w:t>Art. 17.4 Servitude « urbanisation - Biotopes et éléments naturels à préserver » (B)</w:t>
      </w:r>
    </w:p>
    <w:p w14:paraId="4A1A0518" w14:textId="6101F236" w:rsidR="00C118EB" w:rsidRDefault="00C118EB" w:rsidP="00C118EB">
      <w:r>
        <w:t>La servitude « urbanisation – Biotopes et éléments naturels à préserver » vise à protéger et à mettre en valeur des biotopes et éléments naturels existants ». La destruction ou la réduction de ces éléments naturels est interdite. Une dérogation à cette disposition peut être accordée à titre exceptionnel et pour des raisons dûment motivées, sans préjudice des dispositions de la loi concernant la protection de la nature et des ressources naturelles ».</w:t>
      </w:r>
    </w:p>
    <w:p w14:paraId="6C7190E9" w14:textId="09FCF937" w:rsidR="00C118EB" w:rsidRDefault="00C118EB" w:rsidP="00C118EB">
      <w:r>
        <w:t>Les biotopes concernés par cette servitude sont identifiés ci-après:</w:t>
      </w:r>
    </w:p>
    <w:tbl>
      <w:tblPr>
        <w:tblStyle w:val="TableGrid"/>
        <w:tblW w:w="0" w:type="auto"/>
        <w:tblInd w:w="704" w:type="dxa"/>
        <w:tblLook w:val="04A0" w:firstRow="1" w:lastRow="0" w:firstColumn="1" w:lastColumn="0" w:noHBand="0" w:noVBand="1"/>
      </w:tblPr>
      <w:tblGrid>
        <w:gridCol w:w="1099"/>
        <w:gridCol w:w="1311"/>
        <w:gridCol w:w="1843"/>
        <w:gridCol w:w="1275"/>
        <w:gridCol w:w="2268"/>
      </w:tblGrid>
      <w:tr w:rsidR="00C118EB" w14:paraId="68B21E3F" w14:textId="77777777" w:rsidTr="00C118EB">
        <w:trPr>
          <w:trHeight w:val="373"/>
        </w:trPr>
        <w:tc>
          <w:tcPr>
            <w:tcW w:w="1099" w:type="dxa"/>
            <w:shd w:val="clear" w:color="auto" w:fill="BFBFBF" w:themeFill="background1" w:themeFillShade="BF"/>
            <w:vAlign w:val="center"/>
          </w:tcPr>
          <w:p w14:paraId="5580B010" w14:textId="1C732D3A" w:rsidR="00C118EB" w:rsidRPr="00C118EB" w:rsidRDefault="00C118EB" w:rsidP="00C118EB">
            <w:pPr>
              <w:pStyle w:val="NormalTableau"/>
              <w:jc w:val="center"/>
              <w:rPr>
                <w:b/>
                <w:u w:val="single"/>
              </w:rPr>
            </w:pPr>
            <w:r w:rsidRPr="00C118EB">
              <w:rPr>
                <w:b/>
                <w:u w:val="single"/>
              </w:rPr>
              <w:t>Servitude</w:t>
            </w:r>
          </w:p>
        </w:tc>
        <w:tc>
          <w:tcPr>
            <w:tcW w:w="1311" w:type="dxa"/>
            <w:shd w:val="clear" w:color="auto" w:fill="BFBFBF" w:themeFill="background1" w:themeFillShade="BF"/>
            <w:vAlign w:val="center"/>
          </w:tcPr>
          <w:p w14:paraId="44EF3665" w14:textId="6B4542D2" w:rsidR="00C118EB" w:rsidRPr="00C118EB" w:rsidRDefault="00C118EB" w:rsidP="00C118EB">
            <w:pPr>
              <w:pStyle w:val="NormalTableau"/>
              <w:jc w:val="center"/>
              <w:rPr>
                <w:b/>
                <w:u w:val="single"/>
              </w:rPr>
            </w:pPr>
            <w:r w:rsidRPr="00C118EB">
              <w:rPr>
                <w:b/>
                <w:u w:val="single"/>
              </w:rPr>
              <w:t>Localité</w:t>
            </w:r>
          </w:p>
        </w:tc>
        <w:tc>
          <w:tcPr>
            <w:tcW w:w="1843" w:type="dxa"/>
            <w:shd w:val="clear" w:color="auto" w:fill="BFBFBF" w:themeFill="background1" w:themeFillShade="BF"/>
            <w:vAlign w:val="center"/>
          </w:tcPr>
          <w:p w14:paraId="28069FB4" w14:textId="1C611796" w:rsidR="00C118EB" w:rsidRPr="00C118EB" w:rsidRDefault="00C118EB" w:rsidP="00C118EB">
            <w:pPr>
              <w:pStyle w:val="NormalTableau"/>
              <w:jc w:val="center"/>
              <w:rPr>
                <w:b/>
                <w:u w:val="single"/>
              </w:rPr>
            </w:pPr>
            <w:r w:rsidRPr="00C118EB">
              <w:rPr>
                <w:b/>
                <w:u w:val="single"/>
              </w:rPr>
              <w:t>Lieu-dit</w:t>
            </w:r>
          </w:p>
        </w:tc>
        <w:tc>
          <w:tcPr>
            <w:tcW w:w="1275" w:type="dxa"/>
            <w:shd w:val="clear" w:color="auto" w:fill="BFBFBF" w:themeFill="background1" w:themeFillShade="BF"/>
            <w:vAlign w:val="center"/>
          </w:tcPr>
          <w:p w14:paraId="21297C28" w14:textId="5169AC97" w:rsidR="00C118EB" w:rsidRPr="00C118EB" w:rsidRDefault="00C118EB" w:rsidP="00C118EB">
            <w:pPr>
              <w:pStyle w:val="NormalTableau"/>
              <w:jc w:val="center"/>
              <w:rPr>
                <w:b/>
                <w:u w:val="single"/>
              </w:rPr>
            </w:pPr>
            <w:r w:rsidRPr="00C118EB">
              <w:rPr>
                <w:b/>
                <w:u w:val="single"/>
              </w:rPr>
              <w:t>Type</w:t>
            </w:r>
          </w:p>
        </w:tc>
        <w:tc>
          <w:tcPr>
            <w:tcW w:w="2268" w:type="dxa"/>
            <w:shd w:val="clear" w:color="auto" w:fill="BFBFBF" w:themeFill="background1" w:themeFillShade="BF"/>
            <w:vAlign w:val="center"/>
          </w:tcPr>
          <w:p w14:paraId="4F8CD41C" w14:textId="26293B35" w:rsidR="00C118EB" w:rsidRPr="00C118EB" w:rsidRDefault="00C118EB" w:rsidP="00C118EB">
            <w:pPr>
              <w:pStyle w:val="NormalTableau"/>
              <w:jc w:val="center"/>
              <w:rPr>
                <w:b/>
                <w:u w:val="single"/>
              </w:rPr>
            </w:pPr>
            <w:r w:rsidRPr="00C118EB">
              <w:rPr>
                <w:b/>
                <w:u w:val="single"/>
              </w:rPr>
              <w:t>Structure</w:t>
            </w:r>
          </w:p>
        </w:tc>
      </w:tr>
      <w:tr w:rsidR="00C118EB" w14:paraId="48F4B106" w14:textId="77777777" w:rsidTr="00C118EB">
        <w:tc>
          <w:tcPr>
            <w:tcW w:w="1099" w:type="dxa"/>
            <w:vAlign w:val="center"/>
          </w:tcPr>
          <w:p w14:paraId="43914838" w14:textId="6F394FBB" w:rsidR="00C118EB" w:rsidRDefault="00C118EB" w:rsidP="00C118EB">
            <w:pPr>
              <w:pStyle w:val="NormalTableau"/>
              <w:jc w:val="center"/>
            </w:pPr>
            <w:r>
              <w:t>B1</w:t>
            </w:r>
          </w:p>
        </w:tc>
        <w:tc>
          <w:tcPr>
            <w:tcW w:w="1311" w:type="dxa"/>
            <w:vAlign w:val="center"/>
          </w:tcPr>
          <w:p w14:paraId="378C74CB" w14:textId="2E37DF3E" w:rsidR="00C118EB" w:rsidRDefault="00C118EB" w:rsidP="00C118EB">
            <w:pPr>
              <w:pStyle w:val="NormalTableau"/>
              <w:jc w:val="center"/>
            </w:pPr>
            <w:r>
              <w:t>Goeblange</w:t>
            </w:r>
          </w:p>
        </w:tc>
        <w:tc>
          <w:tcPr>
            <w:tcW w:w="1843" w:type="dxa"/>
            <w:vAlign w:val="center"/>
          </w:tcPr>
          <w:p w14:paraId="22697188" w14:textId="0FFDA414" w:rsidR="00C118EB" w:rsidRDefault="00C118EB" w:rsidP="00C118EB">
            <w:pPr>
              <w:pStyle w:val="NormalTableau"/>
              <w:jc w:val="center"/>
            </w:pPr>
            <w:r>
              <w:t>Rue Principale</w:t>
            </w:r>
          </w:p>
        </w:tc>
        <w:tc>
          <w:tcPr>
            <w:tcW w:w="1275" w:type="dxa"/>
            <w:vAlign w:val="center"/>
          </w:tcPr>
          <w:p w14:paraId="42352375" w14:textId="031FDE9E" w:rsidR="00C118EB" w:rsidRDefault="00C118EB" w:rsidP="00C118EB">
            <w:pPr>
              <w:pStyle w:val="NormalTableau"/>
              <w:jc w:val="center"/>
            </w:pPr>
            <w:r>
              <w:t>Linéaire</w:t>
            </w:r>
          </w:p>
        </w:tc>
        <w:tc>
          <w:tcPr>
            <w:tcW w:w="2268" w:type="dxa"/>
            <w:vAlign w:val="center"/>
          </w:tcPr>
          <w:p w14:paraId="0B9E0A10" w14:textId="74C6666C" w:rsidR="00C118EB" w:rsidRDefault="00C118EB" w:rsidP="00C118EB">
            <w:pPr>
              <w:pStyle w:val="NormalTableau"/>
              <w:jc w:val="center"/>
            </w:pPr>
            <w:r>
              <w:t>Rangée d’arbres en bordure Nord-est et sud</w:t>
            </w:r>
          </w:p>
        </w:tc>
      </w:tr>
      <w:tr w:rsidR="00C118EB" w14:paraId="473D7D32" w14:textId="77777777" w:rsidTr="00C118EB">
        <w:tc>
          <w:tcPr>
            <w:tcW w:w="1099" w:type="dxa"/>
            <w:vAlign w:val="center"/>
          </w:tcPr>
          <w:p w14:paraId="17EF0030" w14:textId="0C138B75" w:rsidR="00C118EB" w:rsidRDefault="00C118EB" w:rsidP="00C118EB">
            <w:pPr>
              <w:pStyle w:val="NormalTableau"/>
              <w:jc w:val="center"/>
            </w:pPr>
            <w:r>
              <w:t>B2</w:t>
            </w:r>
          </w:p>
        </w:tc>
        <w:tc>
          <w:tcPr>
            <w:tcW w:w="1311" w:type="dxa"/>
            <w:vAlign w:val="center"/>
          </w:tcPr>
          <w:p w14:paraId="46E6F46C" w14:textId="3C70AD79" w:rsidR="00C118EB" w:rsidRDefault="00C118EB" w:rsidP="00C118EB">
            <w:pPr>
              <w:pStyle w:val="NormalTableau"/>
              <w:jc w:val="center"/>
            </w:pPr>
            <w:r>
              <w:t>Koerich</w:t>
            </w:r>
          </w:p>
        </w:tc>
        <w:tc>
          <w:tcPr>
            <w:tcW w:w="1843" w:type="dxa"/>
            <w:vAlign w:val="center"/>
          </w:tcPr>
          <w:p w14:paraId="253BBBE9" w14:textId="007EC467" w:rsidR="00C118EB" w:rsidRDefault="00C118EB" w:rsidP="00C118EB">
            <w:pPr>
              <w:pStyle w:val="NormalTableau"/>
              <w:jc w:val="center"/>
            </w:pPr>
            <w:r>
              <w:t>Op Fulsbierg</w:t>
            </w:r>
          </w:p>
        </w:tc>
        <w:tc>
          <w:tcPr>
            <w:tcW w:w="1275" w:type="dxa"/>
            <w:vAlign w:val="center"/>
          </w:tcPr>
          <w:p w14:paraId="7FA4A9F7" w14:textId="1E3208DF" w:rsidR="00C118EB" w:rsidRDefault="00C118EB" w:rsidP="00C118EB">
            <w:pPr>
              <w:pStyle w:val="NormalTableau"/>
              <w:jc w:val="center"/>
            </w:pPr>
            <w:r>
              <w:t>Ponctuel</w:t>
            </w:r>
          </w:p>
        </w:tc>
        <w:tc>
          <w:tcPr>
            <w:tcW w:w="2268" w:type="dxa"/>
            <w:vAlign w:val="center"/>
          </w:tcPr>
          <w:p w14:paraId="6B195E24" w14:textId="6890C756" w:rsidR="00C118EB" w:rsidRDefault="00C118EB" w:rsidP="00C118EB">
            <w:pPr>
              <w:pStyle w:val="NormalTableau"/>
              <w:jc w:val="center"/>
            </w:pPr>
            <w:r>
              <w:t>Arbre + mur sec</w:t>
            </w:r>
          </w:p>
        </w:tc>
      </w:tr>
      <w:tr w:rsidR="00C118EB" w14:paraId="4F093889" w14:textId="77777777" w:rsidTr="00C118EB">
        <w:tc>
          <w:tcPr>
            <w:tcW w:w="1099" w:type="dxa"/>
            <w:vAlign w:val="center"/>
          </w:tcPr>
          <w:p w14:paraId="4C0CEB21" w14:textId="072B3700" w:rsidR="00C118EB" w:rsidRDefault="00C118EB" w:rsidP="00C118EB">
            <w:pPr>
              <w:pStyle w:val="NormalTableau"/>
              <w:jc w:val="center"/>
            </w:pPr>
            <w:r>
              <w:t>B3</w:t>
            </w:r>
          </w:p>
        </w:tc>
        <w:tc>
          <w:tcPr>
            <w:tcW w:w="1311" w:type="dxa"/>
            <w:vAlign w:val="center"/>
          </w:tcPr>
          <w:p w14:paraId="26A52DD4" w14:textId="53EC3FE7" w:rsidR="00C118EB" w:rsidRDefault="00C118EB" w:rsidP="00C118EB">
            <w:pPr>
              <w:pStyle w:val="NormalTableau"/>
              <w:jc w:val="center"/>
            </w:pPr>
            <w:r>
              <w:t>Koerich</w:t>
            </w:r>
          </w:p>
        </w:tc>
        <w:tc>
          <w:tcPr>
            <w:tcW w:w="1843" w:type="dxa"/>
            <w:vAlign w:val="center"/>
          </w:tcPr>
          <w:p w14:paraId="29DBD384" w14:textId="1060BFC8" w:rsidR="00C118EB" w:rsidRDefault="00C118EB" w:rsidP="00C118EB">
            <w:pPr>
              <w:pStyle w:val="NormalTableau"/>
              <w:jc w:val="center"/>
            </w:pPr>
            <w:r>
              <w:t>Neie Wee</w:t>
            </w:r>
          </w:p>
        </w:tc>
        <w:tc>
          <w:tcPr>
            <w:tcW w:w="1275" w:type="dxa"/>
            <w:vAlign w:val="center"/>
          </w:tcPr>
          <w:p w14:paraId="714E3CF3" w14:textId="10C6247A" w:rsidR="00C118EB" w:rsidRDefault="00C118EB" w:rsidP="00C118EB">
            <w:pPr>
              <w:pStyle w:val="NormalTableau"/>
              <w:jc w:val="center"/>
            </w:pPr>
            <w:r>
              <w:t>Ponctuel</w:t>
            </w:r>
          </w:p>
        </w:tc>
        <w:tc>
          <w:tcPr>
            <w:tcW w:w="2268" w:type="dxa"/>
            <w:vAlign w:val="center"/>
          </w:tcPr>
          <w:p w14:paraId="618539DA" w14:textId="7C1321A9" w:rsidR="00C118EB" w:rsidRDefault="00C118EB" w:rsidP="00C118EB">
            <w:pPr>
              <w:pStyle w:val="NormalTableau"/>
              <w:jc w:val="center"/>
            </w:pPr>
            <w:r>
              <w:t>Groupe d’arbres</w:t>
            </w:r>
          </w:p>
        </w:tc>
      </w:tr>
      <w:tr w:rsidR="00C118EB" w14:paraId="7E2BAD1E" w14:textId="77777777" w:rsidTr="00C118EB">
        <w:tc>
          <w:tcPr>
            <w:tcW w:w="1099" w:type="dxa"/>
            <w:vAlign w:val="center"/>
          </w:tcPr>
          <w:p w14:paraId="4E2471AB" w14:textId="50AFDBBE" w:rsidR="00C118EB" w:rsidRDefault="00C118EB" w:rsidP="00C118EB">
            <w:pPr>
              <w:pStyle w:val="NormalTableau"/>
              <w:jc w:val="center"/>
            </w:pPr>
            <w:r>
              <w:t>B4</w:t>
            </w:r>
          </w:p>
        </w:tc>
        <w:tc>
          <w:tcPr>
            <w:tcW w:w="1311" w:type="dxa"/>
            <w:vAlign w:val="center"/>
          </w:tcPr>
          <w:p w14:paraId="6729957E" w14:textId="1813CDC1" w:rsidR="00C118EB" w:rsidRDefault="00C118EB" w:rsidP="00C118EB">
            <w:pPr>
              <w:pStyle w:val="NormalTableau"/>
              <w:jc w:val="center"/>
            </w:pPr>
            <w:r>
              <w:t>Goetzingen</w:t>
            </w:r>
          </w:p>
        </w:tc>
        <w:tc>
          <w:tcPr>
            <w:tcW w:w="1843" w:type="dxa"/>
            <w:vAlign w:val="center"/>
          </w:tcPr>
          <w:p w14:paraId="415903F3" w14:textId="0171F4FB" w:rsidR="00C118EB" w:rsidRDefault="00C118EB" w:rsidP="00C118EB">
            <w:pPr>
              <w:pStyle w:val="NormalTableau"/>
              <w:jc w:val="center"/>
            </w:pPr>
            <w:r>
              <w:t>Bei der Breck</w:t>
            </w:r>
          </w:p>
        </w:tc>
        <w:tc>
          <w:tcPr>
            <w:tcW w:w="1275" w:type="dxa"/>
            <w:vAlign w:val="center"/>
          </w:tcPr>
          <w:p w14:paraId="0EF960D0" w14:textId="6675ED1D" w:rsidR="00C118EB" w:rsidRDefault="00C118EB" w:rsidP="00C118EB">
            <w:pPr>
              <w:pStyle w:val="NormalTableau"/>
              <w:jc w:val="center"/>
            </w:pPr>
            <w:r>
              <w:t>Mixte</w:t>
            </w:r>
          </w:p>
        </w:tc>
        <w:tc>
          <w:tcPr>
            <w:tcW w:w="2268" w:type="dxa"/>
            <w:vAlign w:val="center"/>
          </w:tcPr>
          <w:p w14:paraId="1003D5BF" w14:textId="33B4473E" w:rsidR="00C118EB" w:rsidRDefault="00C118EB" w:rsidP="00C118EB">
            <w:pPr>
              <w:pStyle w:val="NormalTableau"/>
              <w:jc w:val="center"/>
            </w:pPr>
            <w:r>
              <w:t>Groupe d’arbres + haie</w:t>
            </w:r>
          </w:p>
        </w:tc>
      </w:tr>
      <w:tr w:rsidR="00C118EB" w14:paraId="4610CA91" w14:textId="77777777" w:rsidTr="00C118EB">
        <w:tc>
          <w:tcPr>
            <w:tcW w:w="1099" w:type="dxa"/>
            <w:vAlign w:val="center"/>
          </w:tcPr>
          <w:p w14:paraId="43DF4A15" w14:textId="634CAD49" w:rsidR="00C118EB" w:rsidRDefault="00C118EB" w:rsidP="00C118EB">
            <w:pPr>
              <w:pStyle w:val="NormalTableau"/>
              <w:jc w:val="center"/>
            </w:pPr>
            <w:r>
              <w:t>B5</w:t>
            </w:r>
          </w:p>
        </w:tc>
        <w:tc>
          <w:tcPr>
            <w:tcW w:w="1311" w:type="dxa"/>
            <w:vAlign w:val="center"/>
          </w:tcPr>
          <w:p w14:paraId="6829E8F5" w14:textId="4FF998A3" w:rsidR="00C118EB" w:rsidRDefault="00C118EB" w:rsidP="00C118EB">
            <w:pPr>
              <w:pStyle w:val="NormalTableau"/>
              <w:jc w:val="center"/>
            </w:pPr>
            <w:r>
              <w:t>Goetzingen</w:t>
            </w:r>
          </w:p>
        </w:tc>
        <w:tc>
          <w:tcPr>
            <w:tcW w:w="1843" w:type="dxa"/>
            <w:vAlign w:val="center"/>
          </w:tcPr>
          <w:p w14:paraId="2ADAFD56" w14:textId="54DB3BB9" w:rsidR="00C118EB" w:rsidRDefault="00C118EB" w:rsidP="00C118EB">
            <w:pPr>
              <w:pStyle w:val="NormalTableau"/>
              <w:jc w:val="center"/>
            </w:pPr>
            <w:r>
              <w:t>Rue de Nospelt</w:t>
            </w:r>
          </w:p>
        </w:tc>
        <w:tc>
          <w:tcPr>
            <w:tcW w:w="1275" w:type="dxa"/>
            <w:vAlign w:val="center"/>
          </w:tcPr>
          <w:p w14:paraId="2E358929" w14:textId="6476F4FA" w:rsidR="00C118EB" w:rsidRDefault="00C118EB" w:rsidP="00C118EB">
            <w:pPr>
              <w:pStyle w:val="NormalTableau"/>
              <w:jc w:val="center"/>
            </w:pPr>
            <w:r>
              <w:t>Ponctuel</w:t>
            </w:r>
          </w:p>
        </w:tc>
        <w:tc>
          <w:tcPr>
            <w:tcW w:w="2268" w:type="dxa"/>
            <w:vAlign w:val="center"/>
          </w:tcPr>
          <w:p w14:paraId="56DBB738" w14:textId="1CCD9295" w:rsidR="00C118EB" w:rsidRDefault="00C118EB" w:rsidP="00C118EB">
            <w:pPr>
              <w:pStyle w:val="NormalTableau"/>
              <w:jc w:val="center"/>
            </w:pPr>
            <w:r>
              <w:t>Groupe d’arbres</w:t>
            </w:r>
          </w:p>
        </w:tc>
      </w:tr>
      <w:tr w:rsidR="00C118EB" w14:paraId="6F1E29B0" w14:textId="77777777" w:rsidTr="00C118EB">
        <w:tc>
          <w:tcPr>
            <w:tcW w:w="1099" w:type="dxa"/>
            <w:vAlign w:val="center"/>
          </w:tcPr>
          <w:p w14:paraId="705528AE" w14:textId="79D732F4" w:rsidR="00C118EB" w:rsidRDefault="00C118EB" w:rsidP="00C118EB">
            <w:pPr>
              <w:pStyle w:val="NormalTableau"/>
              <w:jc w:val="center"/>
            </w:pPr>
            <w:r>
              <w:t>B6</w:t>
            </w:r>
          </w:p>
        </w:tc>
        <w:tc>
          <w:tcPr>
            <w:tcW w:w="1311" w:type="dxa"/>
            <w:vAlign w:val="center"/>
          </w:tcPr>
          <w:p w14:paraId="0E068BD5" w14:textId="784A9BDA" w:rsidR="00C118EB" w:rsidRDefault="00C118EB" w:rsidP="00C118EB">
            <w:pPr>
              <w:pStyle w:val="NormalTableau"/>
              <w:jc w:val="center"/>
            </w:pPr>
            <w:r>
              <w:t>Koerich</w:t>
            </w:r>
          </w:p>
        </w:tc>
        <w:tc>
          <w:tcPr>
            <w:tcW w:w="1843" w:type="dxa"/>
            <w:vAlign w:val="center"/>
          </w:tcPr>
          <w:p w14:paraId="2C2F1E28" w14:textId="588B43F2" w:rsidR="00C118EB" w:rsidRDefault="00C118EB" w:rsidP="00C118EB">
            <w:pPr>
              <w:pStyle w:val="NormalTableau"/>
              <w:jc w:val="center"/>
            </w:pPr>
            <w:r>
              <w:t>Chemin de la source</w:t>
            </w:r>
          </w:p>
        </w:tc>
        <w:tc>
          <w:tcPr>
            <w:tcW w:w="1275" w:type="dxa"/>
            <w:vAlign w:val="center"/>
          </w:tcPr>
          <w:p w14:paraId="26A4ABB7" w14:textId="5644582F" w:rsidR="00C118EB" w:rsidRDefault="00C118EB" w:rsidP="00C118EB">
            <w:pPr>
              <w:pStyle w:val="NormalTableau"/>
              <w:jc w:val="center"/>
            </w:pPr>
            <w:r>
              <w:t>Surfacique</w:t>
            </w:r>
          </w:p>
        </w:tc>
        <w:tc>
          <w:tcPr>
            <w:tcW w:w="2268" w:type="dxa"/>
            <w:vAlign w:val="center"/>
          </w:tcPr>
          <w:p w14:paraId="165C5463" w14:textId="43590CF9" w:rsidR="00C118EB" w:rsidRDefault="00C118EB" w:rsidP="00C118EB">
            <w:pPr>
              <w:pStyle w:val="NormalTableau"/>
              <w:jc w:val="center"/>
            </w:pPr>
            <w:r>
              <w:t>Falaise rocheuse</w:t>
            </w:r>
          </w:p>
        </w:tc>
      </w:tr>
      <w:tr w:rsidR="00C118EB" w14:paraId="212EA5E3" w14:textId="77777777" w:rsidTr="00C118EB">
        <w:tc>
          <w:tcPr>
            <w:tcW w:w="1099" w:type="dxa"/>
            <w:vAlign w:val="center"/>
          </w:tcPr>
          <w:p w14:paraId="143F3C31" w14:textId="0308CFA1" w:rsidR="00C118EB" w:rsidRDefault="00C118EB" w:rsidP="00C118EB">
            <w:pPr>
              <w:pStyle w:val="NormalTableau"/>
              <w:jc w:val="center"/>
            </w:pPr>
            <w:r>
              <w:t>B7</w:t>
            </w:r>
          </w:p>
        </w:tc>
        <w:tc>
          <w:tcPr>
            <w:tcW w:w="1311" w:type="dxa"/>
            <w:vAlign w:val="center"/>
          </w:tcPr>
          <w:p w14:paraId="58F4ED74" w14:textId="224858C7" w:rsidR="00C118EB" w:rsidRDefault="00C118EB" w:rsidP="00C118EB">
            <w:pPr>
              <w:pStyle w:val="NormalTableau"/>
              <w:jc w:val="center"/>
            </w:pPr>
            <w:r>
              <w:t>Koerich</w:t>
            </w:r>
          </w:p>
        </w:tc>
        <w:tc>
          <w:tcPr>
            <w:tcW w:w="1843" w:type="dxa"/>
            <w:vAlign w:val="center"/>
          </w:tcPr>
          <w:p w14:paraId="47466A2F" w14:textId="30777993" w:rsidR="00C118EB" w:rsidRDefault="00C118EB" w:rsidP="00C118EB">
            <w:pPr>
              <w:pStyle w:val="NormalTableau"/>
              <w:jc w:val="center"/>
            </w:pPr>
            <w:r>
              <w:t>Brédegäs</w:t>
            </w:r>
          </w:p>
        </w:tc>
        <w:tc>
          <w:tcPr>
            <w:tcW w:w="1275" w:type="dxa"/>
            <w:vAlign w:val="center"/>
          </w:tcPr>
          <w:p w14:paraId="73646E41" w14:textId="01F2F713" w:rsidR="00C118EB" w:rsidRDefault="00C118EB" w:rsidP="00C118EB">
            <w:pPr>
              <w:pStyle w:val="NormalTableau"/>
              <w:jc w:val="center"/>
            </w:pPr>
            <w:r>
              <w:t>Ponctuel</w:t>
            </w:r>
          </w:p>
        </w:tc>
        <w:tc>
          <w:tcPr>
            <w:tcW w:w="2268" w:type="dxa"/>
            <w:vAlign w:val="center"/>
          </w:tcPr>
          <w:p w14:paraId="6EE6A401" w14:textId="6DF486F4" w:rsidR="00C118EB" w:rsidRDefault="00C118EB" w:rsidP="00C118EB">
            <w:pPr>
              <w:pStyle w:val="NormalTableau"/>
              <w:jc w:val="center"/>
            </w:pPr>
            <w:r>
              <w:t>Groupe d’arbres</w:t>
            </w:r>
          </w:p>
        </w:tc>
      </w:tr>
    </w:tbl>
    <w:p w14:paraId="1421290A" w14:textId="57301C9A" w:rsidR="00C118EB" w:rsidRPr="007D461A" w:rsidRDefault="00C118EB" w:rsidP="00C118EB"/>
    <w:sectPr w:rsidR="00C118E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5"/>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F3216"/>
    <w:rsid w:val="005D1D9B"/>
    <w:rsid w:val="006605E2"/>
    <w:rsid w:val="006653E2"/>
    <w:rsid w:val="006B0ABB"/>
    <w:rsid w:val="00720738"/>
    <w:rsid w:val="00732511"/>
    <w:rsid w:val="007B41C9"/>
    <w:rsid w:val="007B5125"/>
    <w:rsid w:val="007D461A"/>
    <w:rsid w:val="008A46DB"/>
    <w:rsid w:val="009D6555"/>
    <w:rsid w:val="00A610F9"/>
    <w:rsid w:val="00AD5B20"/>
    <w:rsid w:val="00B11E93"/>
    <w:rsid w:val="00B208F3"/>
    <w:rsid w:val="00C10C63"/>
    <w:rsid w:val="00C118EB"/>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C11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2024-03-12T14:39:00Z</dcterms:modified>
</cp:coreProperties>
</file>