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E10A6" w14:textId="211156AC" w:rsidR="00E248C0" w:rsidRPr="00E248C0" w:rsidRDefault="0023710D" w:rsidP="00E248C0">
      <w:pPr>
        <w:pStyle w:val="Heading1"/>
      </w:pPr>
      <w:r>
        <w:t>Art. 16 Secteurs protégés d’intérêt communal « C »</w:t>
      </w:r>
    </w:p>
    <w:p w14:paraId="03C106A1" w14:textId="2DB9750C" w:rsidR="0023710D" w:rsidRDefault="0023710D" w:rsidP="0023710D">
      <w:r>
        <w:t>Les secteurs protégés de type «environnement construit»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 qui sont soumises à des servitudes spéciales comprises dans le présent règlement.</w:t>
      </w:r>
    </w:p>
    <w:p w14:paraId="1F27F5FA" w14:textId="2D672C06" w:rsidR="0023710D" w:rsidRDefault="0023710D" w:rsidP="0023710D">
      <w:r>
        <w:t>Les secteurs protégés de type « environnement construit » sont marqués de la surimpression « C ».</w:t>
      </w:r>
    </w:p>
    <w:p w14:paraId="5B144718" w14:textId="77777777" w:rsidR="0023710D" w:rsidRDefault="0023710D" w:rsidP="0023710D">
      <w:r>
        <w:t>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traditionnelles et typiques. Ces éléments caractéristiques à respecter sont à transposer dans les constructions nouvelles ou transformations en ayant recours à une architecture contemporaine de qualité. Les nouvelles constructions ou transformations qui pourraient porter préjudice au site peuvent être interdites.</w:t>
      </w:r>
    </w:p>
    <w:p w14:paraId="38FDEE07" w14:textId="615D4CF7" w:rsidR="006605E2" w:rsidRDefault="0023710D" w:rsidP="0023710D">
      <w:r>
        <w:t>Pour les bâtiments désignés comme « construction à conserver », « gabarit à sauvegarder » ou « alignement à respecter », la démolition de bâtiments n’est autorisée que pour autant que le propriétaire soit détenteur d’une autorisation de bâtir. Les bâtiments existants qui de par leur état représentent un risque pour la sécurité publique sont exclus de cette obligation.</w:t>
      </w:r>
    </w:p>
    <w:p w14:paraId="430E86C9" w14:textId="77777777" w:rsidR="00535476" w:rsidRPr="00905C85" w:rsidRDefault="00535476" w:rsidP="00535476">
      <w:pPr>
        <w:rPr>
          <w:b/>
          <w:bCs/>
          <w:u w:val="single"/>
        </w:rPr>
      </w:pPr>
      <w:r w:rsidRPr="00905C85">
        <w:rPr>
          <w:b/>
          <w:bCs/>
          <w:u w:val="single"/>
        </w:rPr>
        <w:t>Autorisations et avis</w:t>
      </w:r>
    </w:p>
    <w:p w14:paraId="1F55B0E7" w14:textId="77777777" w:rsidR="00535476" w:rsidRDefault="00535476" w:rsidP="00535476">
      <w:pPr>
        <w:ind w:left="720"/>
      </w:pPr>
      <w:r>
        <w:t>Tous travaux de construction, modification, agrandissement, transformation ou de rénovation ainsi que tout ajout d’élément nouveau, contribuant d’une façon notable à modifier l’aspect extérieur d’une construction à conserver, peuvent être soumis pour avis au Service des Sites et Monuments Nationaux (SSMN).</w:t>
      </w:r>
    </w:p>
    <w:p w14:paraId="35704644" w14:textId="77777777" w:rsidR="00535476" w:rsidRPr="00905C85" w:rsidRDefault="00535476" w:rsidP="00535476">
      <w:pPr>
        <w:rPr>
          <w:b/>
          <w:bCs/>
          <w:u w:val="single"/>
        </w:rPr>
      </w:pPr>
      <w:r w:rsidRPr="00905C85">
        <w:rPr>
          <w:b/>
          <w:bCs/>
          <w:u w:val="single"/>
        </w:rPr>
        <w:t>Assainissement énergétique</w:t>
      </w:r>
    </w:p>
    <w:p w14:paraId="2F4468F5" w14:textId="77777777" w:rsidR="00535476" w:rsidRDefault="00535476" w:rsidP="00535476">
      <w:pPr>
        <w:ind w:left="720"/>
      </w:pPr>
      <w:r>
        <w:t>Afin de garantir l’assainissement énergétique des constructions existantes, une dérogation concernant l’alignement, les reculs et la hauteur peut être accordée.</w:t>
      </w:r>
    </w:p>
    <w:p w14:paraId="463AAFED" w14:textId="6E7B5911" w:rsidR="00535476" w:rsidRPr="007D461A" w:rsidRDefault="00535476" w:rsidP="00535476">
      <w:pPr>
        <w:ind w:left="720"/>
      </w:pPr>
      <w:r>
        <w:t>Pour les constructions à conserver, l’article 10 du règlement grand-ducal du 31 août 2010 concernant la performance énergétique des bâtiments fonctionnels prévoit des dérogations au niveau du respect des exigences minimales, afin de conserver le caractère de ces bâtiments.</w:t>
      </w:r>
    </w:p>
    <w:sectPr w:rsidR="0053547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815823">
    <w:abstractNumId w:val="3"/>
  </w:num>
  <w:num w:numId="2" w16cid:durableId="2042584795">
    <w:abstractNumId w:val="4"/>
  </w:num>
  <w:num w:numId="3" w16cid:durableId="569076579">
    <w:abstractNumId w:val="5"/>
  </w:num>
  <w:num w:numId="4" w16cid:durableId="1726025503">
    <w:abstractNumId w:val="0"/>
  </w:num>
  <w:num w:numId="5" w16cid:durableId="336268204">
    <w:abstractNumId w:val="1"/>
  </w:num>
  <w:num w:numId="6" w16cid:durableId="984700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3710D"/>
    <w:rsid w:val="00387019"/>
    <w:rsid w:val="0039622D"/>
    <w:rsid w:val="00397462"/>
    <w:rsid w:val="003A681A"/>
    <w:rsid w:val="00535476"/>
    <w:rsid w:val="005D1D9B"/>
    <w:rsid w:val="006605E2"/>
    <w:rsid w:val="006653E2"/>
    <w:rsid w:val="006B0ABB"/>
    <w:rsid w:val="00732511"/>
    <w:rsid w:val="007B41C9"/>
    <w:rsid w:val="007B5125"/>
    <w:rsid w:val="007D461A"/>
    <w:rsid w:val="008A46DB"/>
    <w:rsid w:val="00905C85"/>
    <w:rsid w:val="009D6555"/>
    <w:rsid w:val="00A610F9"/>
    <w:rsid w:val="00AD5B20"/>
    <w:rsid w:val="00B11E93"/>
    <w:rsid w:val="00B208F3"/>
    <w:rsid w:val="00C10C63"/>
    <w:rsid w:val="00C85115"/>
    <w:rsid w:val="00CB2FE8"/>
    <w:rsid w:val="00CF3132"/>
    <w:rsid w:val="00D35FE3"/>
    <w:rsid w:val="00E248C0"/>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2024-08-14T09:29:00Z</dcterms:modified>
</cp:coreProperties>
</file>