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942D3" w14:textId="5817A06F" w:rsidR="00E07BA5" w:rsidRDefault="00E07BA5" w:rsidP="00E07BA5">
      <w:pPr>
        <w:pStyle w:val="Heading2"/>
      </w:pPr>
      <w:r>
        <w:t>Art. 19.4 Alignement d’une construction existante à préserver</w:t>
      </w:r>
    </w:p>
    <w:p w14:paraId="48957749" w14:textId="62292629" w:rsidR="00E07BA5" w:rsidRDefault="00E07BA5" w:rsidP="00E07BA5">
      <w:r>
        <w:t>L’alignement d’une construction désignée « alignement d’une construction existante à préserver » dans la partie graphique du PAG doit être conservé lors de tout projet de transformation ou de reconstruction.</w:t>
      </w:r>
    </w:p>
    <w:p w14:paraId="65293E1F" w14:textId="7A410B17" w:rsidR="006B5CF5" w:rsidRPr="007D461A" w:rsidRDefault="00E07BA5" w:rsidP="00E07BA5">
      <w:r>
        <w:t>Les saillies et les retraits par rapport au gabarit existant sont interdits. En cas d’impossibilité d’observation de l’alignement par rapport à la voie publique, une dérogation jusqu’à 0,50 mètre peut être accordée. En cas d’impossibilité d’observation ou dans le but de l’amélioration du domaine public, une dérogation peut être approuvée.</w:t>
      </w:r>
    </w:p>
    <w:sectPr w:rsidR="006B5CF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271289">
    <w:abstractNumId w:val="3"/>
  </w:num>
  <w:num w:numId="2" w16cid:durableId="1944914761">
    <w:abstractNumId w:val="4"/>
  </w:num>
  <w:num w:numId="3" w16cid:durableId="452677679">
    <w:abstractNumId w:val="5"/>
  </w:num>
  <w:num w:numId="4" w16cid:durableId="367266737">
    <w:abstractNumId w:val="0"/>
  </w:num>
  <w:num w:numId="5" w16cid:durableId="1528984763">
    <w:abstractNumId w:val="1"/>
  </w:num>
  <w:num w:numId="6" w16cid:durableId="5289585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B5CF5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07BA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2024-08-30T07:59:00Z</dcterms:modified>
</cp:coreProperties>
</file>