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DFA17" w14:textId="6E2A53F1" w:rsidR="002C7C62" w:rsidRPr="004B32DC" w:rsidRDefault="002C7C62" w:rsidP="002C7C62">
      <w:pPr>
        <w:pStyle w:val="Heading1"/>
        <w:rPr>
          <w:lang w:val="fr-LU"/>
        </w:rPr>
      </w:pPr>
      <w:r w:rsidRPr="004B32DC">
        <w:rPr>
          <w:lang w:val="fr-LU"/>
        </w:rPr>
        <w:t>Art. 24 Emplacements de stationnement pour véhicules motorisés</w:t>
      </w:r>
    </w:p>
    <w:p w14:paraId="775A0FE1" w14:textId="77777777" w:rsidR="002C7C62" w:rsidRPr="004B32DC" w:rsidRDefault="002C7C62" w:rsidP="002C7C62">
      <w:pPr>
        <w:rPr>
          <w:lang w:val="fr-LU"/>
        </w:rPr>
      </w:pPr>
      <w:r w:rsidRPr="004B32DC">
        <w:rPr>
          <w:lang w:val="fr-LU"/>
        </w:rPr>
        <w:t>Pour:</w:t>
      </w:r>
    </w:p>
    <w:p w14:paraId="248EF84D" w14:textId="77777777" w:rsidR="002C7C62" w:rsidRPr="004B32DC" w:rsidRDefault="002C7C62" w:rsidP="002C7C62">
      <w:pPr>
        <w:pStyle w:val="ListParagraph"/>
        <w:numPr>
          <w:ilvl w:val="0"/>
          <w:numId w:val="7"/>
        </w:numPr>
        <w:rPr>
          <w:lang w:val="fr-LU"/>
        </w:rPr>
      </w:pPr>
      <w:proofErr w:type="gramStart"/>
      <w:r w:rsidRPr="004B32DC">
        <w:rPr>
          <w:lang w:val="fr-LU"/>
        </w:rPr>
        <w:t>toute</w:t>
      </w:r>
      <w:proofErr w:type="gramEnd"/>
      <w:r w:rsidRPr="004B32DC">
        <w:rPr>
          <w:lang w:val="fr-LU"/>
        </w:rPr>
        <w:t xml:space="preserve"> construction nouvelle;</w:t>
      </w:r>
    </w:p>
    <w:p w14:paraId="78A4A7D1" w14:textId="77777777" w:rsidR="002C7C62" w:rsidRPr="004B32DC" w:rsidRDefault="002C7C62" w:rsidP="002C7C62">
      <w:pPr>
        <w:pStyle w:val="ListParagraph"/>
        <w:numPr>
          <w:ilvl w:val="0"/>
          <w:numId w:val="7"/>
        </w:numPr>
        <w:rPr>
          <w:lang w:val="fr-LU"/>
        </w:rPr>
      </w:pPr>
      <w:proofErr w:type="gramStart"/>
      <w:r w:rsidRPr="004B32DC">
        <w:rPr>
          <w:lang w:val="fr-LU"/>
        </w:rPr>
        <w:t>toute</w:t>
      </w:r>
      <w:proofErr w:type="gramEnd"/>
      <w:r w:rsidRPr="004B32DC">
        <w:rPr>
          <w:lang w:val="fr-LU"/>
        </w:rPr>
        <w:t xml:space="preserve"> reconstruction;</w:t>
      </w:r>
    </w:p>
    <w:p w14:paraId="7B7E49E8" w14:textId="77777777" w:rsidR="002C7C62" w:rsidRPr="004B32DC" w:rsidRDefault="002C7C62" w:rsidP="002C7C62">
      <w:pPr>
        <w:pStyle w:val="ListParagraph"/>
        <w:numPr>
          <w:ilvl w:val="0"/>
          <w:numId w:val="7"/>
        </w:numPr>
        <w:rPr>
          <w:lang w:val="fr-LU"/>
        </w:rPr>
      </w:pPr>
      <w:proofErr w:type="gramStart"/>
      <w:r w:rsidRPr="004B32DC">
        <w:rPr>
          <w:lang w:val="fr-LU"/>
        </w:rPr>
        <w:t>toute</w:t>
      </w:r>
      <w:proofErr w:type="gramEnd"/>
      <w:r w:rsidRPr="004B32DC">
        <w:rPr>
          <w:lang w:val="fr-LU"/>
        </w:rPr>
        <w:t xml:space="preserve"> transformation de construction;</w:t>
      </w:r>
    </w:p>
    <w:p w14:paraId="7F928275" w14:textId="77777777" w:rsidR="002C7C62" w:rsidRPr="004B32DC" w:rsidRDefault="002C7C62" w:rsidP="002C7C62">
      <w:pPr>
        <w:pStyle w:val="ListParagraph"/>
        <w:numPr>
          <w:ilvl w:val="0"/>
          <w:numId w:val="7"/>
        </w:numPr>
        <w:rPr>
          <w:lang w:val="fr-LU"/>
        </w:rPr>
      </w:pPr>
      <w:proofErr w:type="gramStart"/>
      <w:r w:rsidRPr="004B32DC">
        <w:rPr>
          <w:lang w:val="fr-LU"/>
        </w:rPr>
        <w:t>tout</w:t>
      </w:r>
      <w:proofErr w:type="gramEnd"/>
      <w:r w:rsidRPr="004B32DC">
        <w:rPr>
          <w:lang w:val="fr-LU"/>
        </w:rPr>
        <w:t xml:space="preserve"> changement d’affectation d’une construction;</w:t>
      </w:r>
    </w:p>
    <w:p w14:paraId="21E42ED0" w14:textId="77777777" w:rsidR="002C7C62" w:rsidRPr="004B32DC" w:rsidRDefault="002C7C62" w:rsidP="002C7C62">
      <w:pPr>
        <w:pStyle w:val="ListParagraph"/>
        <w:numPr>
          <w:ilvl w:val="0"/>
          <w:numId w:val="7"/>
        </w:numPr>
        <w:rPr>
          <w:lang w:val="fr-LU"/>
        </w:rPr>
      </w:pPr>
      <w:proofErr w:type="gramStart"/>
      <w:r w:rsidRPr="004B32DC">
        <w:rPr>
          <w:lang w:val="fr-LU"/>
        </w:rPr>
        <w:t>toute</w:t>
      </w:r>
      <w:proofErr w:type="gramEnd"/>
      <w:r w:rsidRPr="004B32DC">
        <w:rPr>
          <w:lang w:val="fr-LU"/>
        </w:rPr>
        <w:t xml:space="preserve"> création de logements supplémentaires et</w:t>
      </w:r>
    </w:p>
    <w:p w14:paraId="2AEE128D" w14:textId="077B57CE" w:rsidR="002C7C62" w:rsidRPr="004B32DC" w:rsidRDefault="002C7C62" w:rsidP="002C7C62">
      <w:pPr>
        <w:pStyle w:val="ListParagraph"/>
        <w:numPr>
          <w:ilvl w:val="0"/>
          <w:numId w:val="7"/>
        </w:numPr>
        <w:rPr>
          <w:lang w:val="fr-LU"/>
        </w:rPr>
      </w:pPr>
      <w:proofErr w:type="gramStart"/>
      <w:r w:rsidRPr="004B32DC">
        <w:rPr>
          <w:lang w:val="fr-LU"/>
        </w:rPr>
        <w:t>toute</w:t>
      </w:r>
      <w:proofErr w:type="gramEnd"/>
      <w:r w:rsidRPr="004B32DC">
        <w:rPr>
          <w:lang w:val="fr-LU"/>
        </w:rPr>
        <w:t xml:space="preserve"> augmentation de la surface construite brute,</w:t>
      </w:r>
    </w:p>
    <w:p w14:paraId="0A4A7F85" w14:textId="63A0767F" w:rsidR="002C7C62" w:rsidRPr="004B32DC" w:rsidRDefault="002C7C62" w:rsidP="002C7C62">
      <w:pPr>
        <w:rPr>
          <w:lang w:val="fr-LU"/>
        </w:rPr>
      </w:pPr>
      <w:proofErr w:type="gramStart"/>
      <w:r w:rsidRPr="004B32DC">
        <w:rPr>
          <w:lang w:val="fr-LU"/>
        </w:rPr>
        <w:t>un</w:t>
      </w:r>
      <w:proofErr w:type="gramEnd"/>
      <w:r w:rsidRPr="004B32DC">
        <w:rPr>
          <w:lang w:val="fr-LU"/>
        </w:rPr>
        <w:t xml:space="preserve"> nombre suffisant d'emplacements de stationnement pour véhicules motorisés ou une adaptation du nombre d’emplacements de stationnement, doit être prévu.</w:t>
      </w:r>
    </w:p>
    <w:p w14:paraId="25293A87" w14:textId="77777777" w:rsidR="002C7C62" w:rsidRPr="004B32DC" w:rsidRDefault="002C7C62" w:rsidP="002C7C62">
      <w:pPr>
        <w:rPr>
          <w:lang w:val="fr-LU"/>
        </w:rPr>
      </w:pPr>
      <w:r w:rsidRPr="004B32DC">
        <w:rPr>
          <w:lang w:val="fr-LU"/>
        </w:rPr>
        <w:t>Les emplacements de stationnement pour véhicules motorisés, sont à prévoir dans le domaine privé, sur le terrain même où les constructions accueillant les fonctions suivantes, sont réalisées et conformément au tableau ci-dessous. Ces emplacements doivent figurer dans le projet soumis pour autorisation.</w:t>
      </w:r>
    </w:p>
    <w:p w14:paraId="38FDEE07" w14:textId="47A48EA7" w:rsidR="006605E2" w:rsidRPr="004B32DC" w:rsidRDefault="002C7C62" w:rsidP="002C7C62">
      <w:pPr>
        <w:rPr>
          <w:lang w:val="fr-LU"/>
        </w:rPr>
      </w:pPr>
      <w:r w:rsidRPr="004B32DC">
        <w:rPr>
          <w:lang w:val="fr-LU"/>
        </w:rPr>
        <w:t>Le nombre minimal et maximal d’emplacements de stationnement pour véhicules motorisés, est défini en foncti</w:t>
      </w:r>
      <w:r w:rsidR="003D481A" w:rsidRPr="004B32DC">
        <w:rPr>
          <w:lang w:val="fr-LU"/>
        </w:rPr>
        <w:t>on du mode d’utilisation du sol</w:t>
      </w:r>
      <w:r w:rsidRPr="004B32DC">
        <w:rPr>
          <w:lang w:val="fr-LU"/>
        </w:rPr>
        <w:t>:</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969"/>
        <w:gridCol w:w="4400"/>
      </w:tblGrid>
      <w:tr w:rsidR="003D481A" w:rsidRPr="004B32DC" w14:paraId="5B32A61C" w14:textId="77777777" w:rsidTr="003D481A">
        <w:trPr>
          <w:jc w:val="center"/>
        </w:trPr>
        <w:tc>
          <w:tcPr>
            <w:tcW w:w="3969" w:type="dxa"/>
            <w:shd w:val="clear" w:color="auto" w:fill="auto"/>
            <w:vAlign w:val="center"/>
          </w:tcPr>
          <w:p w14:paraId="42DA35F2" w14:textId="77777777" w:rsidR="003D481A" w:rsidRPr="004B32DC" w:rsidRDefault="003D481A" w:rsidP="003D481A">
            <w:pPr>
              <w:pStyle w:val="NormalTableau"/>
              <w:jc w:val="left"/>
              <w:rPr>
                <w:lang w:val="fr-LU"/>
              </w:rPr>
            </w:pPr>
            <w:r w:rsidRPr="004B32DC">
              <w:rPr>
                <w:lang w:val="fr-LU"/>
              </w:rPr>
              <w:t>Constructions unifamiliales et bifamiliales</w:t>
            </w:r>
          </w:p>
        </w:tc>
        <w:tc>
          <w:tcPr>
            <w:tcW w:w="4400" w:type="dxa"/>
            <w:shd w:val="clear" w:color="auto" w:fill="auto"/>
            <w:vAlign w:val="center"/>
          </w:tcPr>
          <w:p w14:paraId="48545B88" w14:textId="77777777" w:rsidR="003D481A" w:rsidRPr="004B32DC" w:rsidRDefault="003D481A" w:rsidP="003D481A">
            <w:pPr>
              <w:pStyle w:val="NormalTableau"/>
              <w:jc w:val="left"/>
              <w:rPr>
                <w:lang w:val="fr-LU"/>
              </w:rPr>
            </w:pPr>
            <w:r w:rsidRPr="004B32DC">
              <w:rPr>
                <w:lang w:val="fr-LU"/>
              </w:rPr>
              <w:t>min. 2 emplacements -</w:t>
            </w:r>
          </w:p>
          <w:p w14:paraId="67484958" w14:textId="77777777" w:rsidR="003D481A" w:rsidRPr="004B32DC" w:rsidRDefault="003D481A" w:rsidP="003D481A">
            <w:pPr>
              <w:pStyle w:val="NormalTableau"/>
              <w:jc w:val="left"/>
              <w:rPr>
                <w:lang w:val="fr-LU"/>
              </w:rPr>
            </w:pPr>
            <w:r w:rsidRPr="004B32DC">
              <w:rPr>
                <w:lang w:val="fr-LU"/>
              </w:rPr>
              <w:t>max. 3 emplacements par unité de logement</w:t>
            </w:r>
          </w:p>
        </w:tc>
      </w:tr>
      <w:tr w:rsidR="003D481A" w:rsidRPr="004B32DC" w14:paraId="080E2CB5" w14:textId="77777777" w:rsidTr="003D481A">
        <w:trPr>
          <w:trHeight w:val="585"/>
          <w:jc w:val="center"/>
        </w:trPr>
        <w:tc>
          <w:tcPr>
            <w:tcW w:w="3969" w:type="dxa"/>
            <w:shd w:val="clear" w:color="auto" w:fill="auto"/>
            <w:vAlign w:val="center"/>
          </w:tcPr>
          <w:p w14:paraId="411B64A7" w14:textId="77777777" w:rsidR="003D481A" w:rsidRPr="004B32DC" w:rsidRDefault="003D481A" w:rsidP="003D481A">
            <w:pPr>
              <w:pStyle w:val="NormalTableau"/>
              <w:jc w:val="left"/>
              <w:rPr>
                <w:lang w:val="fr-LU"/>
              </w:rPr>
            </w:pPr>
            <w:r w:rsidRPr="004B32DC">
              <w:rPr>
                <w:lang w:val="fr-LU"/>
              </w:rPr>
              <w:t>Logement intégré</w:t>
            </w:r>
          </w:p>
        </w:tc>
        <w:tc>
          <w:tcPr>
            <w:tcW w:w="4400" w:type="dxa"/>
            <w:shd w:val="clear" w:color="auto" w:fill="auto"/>
            <w:vAlign w:val="center"/>
          </w:tcPr>
          <w:p w14:paraId="52F12466" w14:textId="77777777" w:rsidR="003D481A" w:rsidRPr="004B32DC" w:rsidRDefault="003D481A" w:rsidP="003D481A">
            <w:pPr>
              <w:pStyle w:val="NormalTableau"/>
              <w:jc w:val="left"/>
              <w:rPr>
                <w:lang w:val="fr-LU"/>
              </w:rPr>
            </w:pPr>
            <w:r w:rsidRPr="004B32DC">
              <w:rPr>
                <w:lang w:val="fr-LU"/>
              </w:rPr>
              <w:t>les nombres d’emplacements des constructions unifamiliales min. et max. peuvent être augmentés d’1 emplacement supplémentaire par logement intégré</w:t>
            </w:r>
          </w:p>
        </w:tc>
      </w:tr>
      <w:tr w:rsidR="003D481A" w:rsidRPr="004B32DC" w14:paraId="2DB2D879" w14:textId="77777777" w:rsidTr="003D481A">
        <w:trPr>
          <w:jc w:val="center"/>
        </w:trPr>
        <w:tc>
          <w:tcPr>
            <w:tcW w:w="3969" w:type="dxa"/>
            <w:shd w:val="clear" w:color="auto" w:fill="auto"/>
            <w:vAlign w:val="center"/>
          </w:tcPr>
          <w:p w14:paraId="22D5D274" w14:textId="04009BB3" w:rsidR="003D481A" w:rsidRPr="004B32DC" w:rsidRDefault="003D481A" w:rsidP="003D481A">
            <w:pPr>
              <w:pStyle w:val="NormalTableau"/>
              <w:jc w:val="left"/>
              <w:rPr>
                <w:lang w:val="fr-LU"/>
              </w:rPr>
            </w:pPr>
            <w:r w:rsidRPr="004B32DC">
              <w:rPr>
                <w:lang w:val="fr-LU"/>
              </w:rPr>
              <w:t>Constructions plurifamiliales - pour les logements de max. 50,00 m</w:t>
            </w:r>
            <w:r w:rsidRPr="004B32DC">
              <w:rPr>
                <w:vertAlign w:val="superscript"/>
                <w:lang w:val="fr-LU"/>
              </w:rPr>
              <w:t>2</w:t>
            </w:r>
            <w:r w:rsidRPr="004B32DC">
              <w:rPr>
                <w:lang w:val="fr-LU"/>
              </w:rPr>
              <w:t xml:space="preserve"> de surface construite brute</w:t>
            </w:r>
          </w:p>
        </w:tc>
        <w:tc>
          <w:tcPr>
            <w:tcW w:w="4400" w:type="dxa"/>
            <w:shd w:val="clear" w:color="auto" w:fill="auto"/>
            <w:vAlign w:val="center"/>
          </w:tcPr>
          <w:p w14:paraId="7FF7768A" w14:textId="77777777" w:rsidR="003D481A" w:rsidRPr="004B32DC" w:rsidRDefault="003D481A" w:rsidP="003D481A">
            <w:pPr>
              <w:pStyle w:val="NormalTableau"/>
              <w:jc w:val="left"/>
              <w:rPr>
                <w:lang w:val="fr-LU"/>
              </w:rPr>
            </w:pPr>
            <w:r w:rsidRPr="004B32DC">
              <w:rPr>
                <w:lang w:val="fr-LU"/>
              </w:rPr>
              <w:t>min. 1 emplacement par unité de logement</w:t>
            </w:r>
          </w:p>
          <w:p w14:paraId="538B9A7F" w14:textId="77777777" w:rsidR="003D481A" w:rsidRPr="004B32DC" w:rsidRDefault="003D481A" w:rsidP="003D481A">
            <w:pPr>
              <w:pStyle w:val="NormalTableau"/>
              <w:jc w:val="left"/>
              <w:rPr>
                <w:lang w:val="fr-LU"/>
              </w:rPr>
            </w:pPr>
            <w:r w:rsidRPr="004B32DC">
              <w:rPr>
                <w:lang w:val="fr-LU"/>
              </w:rPr>
              <w:t>max. 2 emplacements par unité de logement</w:t>
            </w:r>
          </w:p>
        </w:tc>
      </w:tr>
      <w:tr w:rsidR="003D481A" w:rsidRPr="004B32DC" w14:paraId="5C8F6DF0" w14:textId="77777777" w:rsidTr="003D481A">
        <w:trPr>
          <w:jc w:val="center"/>
        </w:trPr>
        <w:tc>
          <w:tcPr>
            <w:tcW w:w="3969" w:type="dxa"/>
            <w:shd w:val="clear" w:color="auto" w:fill="auto"/>
            <w:vAlign w:val="center"/>
          </w:tcPr>
          <w:p w14:paraId="412767BC" w14:textId="0FDAF6B2" w:rsidR="003D481A" w:rsidRPr="004B32DC" w:rsidRDefault="003D481A" w:rsidP="003D481A">
            <w:pPr>
              <w:pStyle w:val="NormalTableau"/>
              <w:jc w:val="left"/>
              <w:rPr>
                <w:lang w:val="fr-LU"/>
              </w:rPr>
            </w:pPr>
            <w:r w:rsidRPr="004B32DC">
              <w:rPr>
                <w:lang w:val="fr-LU"/>
              </w:rPr>
              <w:t>Constructions plurifamiliales - pour les logements de plus de 50,00m</w:t>
            </w:r>
            <w:r w:rsidRPr="004B32DC">
              <w:rPr>
                <w:vertAlign w:val="superscript"/>
                <w:lang w:val="fr-LU"/>
              </w:rPr>
              <w:t>2</w:t>
            </w:r>
            <w:r w:rsidRPr="004B32DC">
              <w:rPr>
                <w:lang w:val="fr-LU"/>
              </w:rPr>
              <w:t xml:space="preserve"> de surface construite brute</w:t>
            </w:r>
          </w:p>
        </w:tc>
        <w:tc>
          <w:tcPr>
            <w:tcW w:w="4400" w:type="dxa"/>
            <w:shd w:val="clear" w:color="auto" w:fill="auto"/>
            <w:vAlign w:val="center"/>
          </w:tcPr>
          <w:p w14:paraId="1FC35F9B" w14:textId="77777777" w:rsidR="003D481A" w:rsidRPr="004B32DC" w:rsidRDefault="003D481A" w:rsidP="003D481A">
            <w:pPr>
              <w:pStyle w:val="NormalTableau"/>
              <w:jc w:val="left"/>
              <w:rPr>
                <w:lang w:val="fr-LU"/>
              </w:rPr>
            </w:pPr>
            <w:r w:rsidRPr="004B32DC">
              <w:rPr>
                <w:lang w:val="fr-LU"/>
              </w:rPr>
              <w:t>min. 2 emplacements par unité de logement</w:t>
            </w:r>
          </w:p>
          <w:p w14:paraId="25377BA7" w14:textId="77777777" w:rsidR="003D481A" w:rsidRPr="004B32DC" w:rsidRDefault="003D481A" w:rsidP="003D481A">
            <w:pPr>
              <w:pStyle w:val="NormalTableau"/>
              <w:jc w:val="left"/>
              <w:rPr>
                <w:lang w:val="fr-LU"/>
              </w:rPr>
            </w:pPr>
            <w:r w:rsidRPr="004B32DC">
              <w:rPr>
                <w:lang w:val="fr-LU"/>
              </w:rPr>
              <w:t>max. 3 emplacements par unité de logement</w:t>
            </w:r>
          </w:p>
        </w:tc>
      </w:tr>
      <w:tr w:rsidR="003D481A" w:rsidRPr="004B32DC" w14:paraId="3C0CE085" w14:textId="77777777" w:rsidTr="003D481A">
        <w:trPr>
          <w:trHeight w:val="453"/>
          <w:jc w:val="center"/>
        </w:trPr>
        <w:tc>
          <w:tcPr>
            <w:tcW w:w="3969" w:type="dxa"/>
            <w:shd w:val="clear" w:color="auto" w:fill="auto"/>
            <w:vAlign w:val="center"/>
          </w:tcPr>
          <w:p w14:paraId="057979D7" w14:textId="77777777" w:rsidR="003D481A" w:rsidRPr="004B32DC" w:rsidRDefault="003D481A" w:rsidP="003D481A">
            <w:pPr>
              <w:pStyle w:val="NormalTableau"/>
              <w:jc w:val="left"/>
              <w:rPr>
                <w:lang w:val="fr-LU"/>
              </w:rPr>
            </w:pPr>
            <w:r w:rsidRPr="004B32DC">
              <w:rPr>
                <w:lang w:val="fr-LU"/>
              </w:rPr>
              <w:t>Logement à coûts modérés</w:t>
            </w:r>
          </w:p>
        </w:tc>
        <w:tc>
          <w:tcPr>
            <w:tcW w:w="4400" w:type="dxa"/>
            <w:shd w:val="clear" w:color="auto" w:fill="auto"/>
            <w:vAlign w:val="center"/>
          </w:tcPr>
          <w:p w14:paraId="2043E4EE" w14:textId="77777777" w:rsidR="003D481A" w:rsidRPr="004B32DC" w:rsidRDefault="003D481A" w:rsidP="003D481A">
            <w:pPr>
              <w:pStyle w:val="NormalTableau"/>
              <w:jc w:val="left"/>
              <w:rPr>
                <w:lang w:val="fr-LU"/>
              </w:rPr>
            </w:pPr>
            <w:r w:rsidRPr="004B32DC">
              <w:rPr>
                <w:lang w:val="fr-LU"/>
              </w:rPr>
              <w:t>min. 1 emplacement par unité de logement</w:t>
            </w:r>
          </w:p>
          <w:p w14:paraId="67B23E4C" w14:textId="77777777" w:rsidR="003D481A" w:rsidRPr="004B32DC" w:rsidRDefault="003D481A" w:rsidP="003D481A">
            <w:pPr>
              <w:pStyle w:val="NormalTableau"/>
              <w:jc w:val="left"/>
              <w:rPr>
                <w:lang w:val="fr-LU"/>
              </w:rPr>
            </w:pPr>
            <w:r w:rsidRPr="004B32DC">
              <w:rPr>
                <w:lang w:val="fr-LU"/>
              </w:rPr>
              <w:t>max. 3 emplacements par unité de logement</w:t>
            </w:r>
          </w:p>
        </w:tc>
      </w:tr>
      <w:tr w:rsidR="003D481A" w:rsidRPr="004B32DC" w14:paraId="1ADCC23F" w14:textId="77777777" w:rsidTr="003D481A">
        <w:trPr>
          <w:jc w:val="center"/>
        </w:trPr>
        <w:tc>
          <w:tcPr>
            <w:tcW w:w="3969" w:type="dxa"/>
            <w:shd w:val="clear" w:color="auto" w:fill="auto"/>
            <w:vAlign w:val="center"/>
          </w:tcPr>
          <w:p w14:paraId="550E3245" w14:textId="77777777" w:rsidR="003D481A" w:rsidRPr="004B32DC" w:rsidRDefault="003D481A" w:rsidP="003D481A">
            <w:pPr>
              <w:pStyle w:val="NormalTableau"/>
              <w:jc w:val="left"/>
              <w:rPr>
                <w:lang w:val="fr-LU"/>
              </w:rPr>
            </w:pPr>
            <w:r w:rsidRPr="004B32DC">
              <w:rPr>
                <w:lang w:val="fr-LU"/>
              </w:rPr>
              <w:t>Bureaux, services administratifs et professionnels</w:t>
            </w:r>
          </w:p>
        </w:tc>
        <w:tc>
          <w:tcPr>
            <w:tcW w:w="4400" w:type="dxa"/>
            <w:shd w:val="clear" w:color="auto" w:fill="auto"/>
            <w:vAlign w:val="center"/>
          </w:tcPr>
          <w:p w14:paraId="76917384" w14:textId="0AE97681" w:rsidR="003D481A" w:rsidRPr="004B32DC" w:rsidRDefault="003D481A" w:rsidP="003D481A">
            <w:pPr>
              <w:pStyle w:val="NormalTableau"/>
              <w:jc w:val="left"/>
              <w:rPr>
                <w:lang w:val="fr-LU"/>
              </w:rPr>
            </w:pPr>
            <w:r w:rsidRPr="004B32DC">
              <w:rPr>
                <w:lang w:val="fr-LU"/>
              </w:rPr>
              <w:t>min. 1 emplacement par tranche de 75m</w:t>
            </w:r>
            <w:r w:rsidRPr="004B32DC">
              <w:rPr>
                <w:vertAlign w:val="superscript"/>
                <w:lang w:val="fr-LU"/>
              </w:rPr>
              <w:t>2</w:t>
            </w:r>
            <w:r w:rsidRPr="004B32DC">
              <w:rPr>
                <w:lang w:val="fr-LU"/>
              </w:rPr>
              <w:t xml:space="preserve"> de surface construite brute –</w:t>
            </w:r>
          </w:p>
          <w:p w14:paraId="45098FC1" w14:textId="3ABF798C" w:rsidR="003D481A" w:rsidRPr="004B32DC" w:rsidRDefault="003D481A" w:rsidP="003D481A">
            <w:pPr>
              <w:pStyle w:val="NormalTableau"/>
              <w:jc w:val="left"/>
              <w:rPr>
                <w:lang w:val="fr-LU"/>
              </w:rPr>
            </w:pPr>
            <w:r w:rsidRPr="004B32DC">
              <w:rPr>
                <w:lang w:val="fr-LU"/>
              </w:rPr>
              <w:t>max. 1 emplacement par tranche de 55m</w:t>
            </w:r>
            <w:r w:rsidRPr="004B32DC">
              <w:rPr>
                <w:vertAlign w:val="superscript"/>
                <w:lang w:val="fr-LU"/>
              </w:rPr>
              <w:t>2</w:t>
            </w:r>
            <w:r w:rsidRPr="004B32DC">
              <w:rPr>
                <w:lang w:val="fr-LU"/>
              </w:rPr>
              <w:t xml:space="preserve"> de surface construite brute</w:t>
            </w:r>
          </w:p>
        </w:tc>
      </w:tr>
      <w:tr w:rsidR="003D481A" w:rsidRPr="004B32DC" w14:paraId="470E5182" w14:textId="77777777" w:rsidTr="003D481A">
        <w:trPr>
          <w:jc w:val="center"/>
        </w:trPr>
        <w:tc>
          <w:tcPr>
            <w:tcW w:w="3969" w:type="dxa"/>
            <w:shd w:val="clear" w:color="auto" w:fill="auto"/>
            <w:vAlign w:val="center"/>
          </w:tcPr>
          <w:p w14:paraId="2214AA47" w14:textId="77777777" w:rsidR="003D481A" w:rsidRPr="004B32DC" w:rsidRDefault="003D481A" w:rsidP="003D481A">
            <w:pPr>
              <w:pStyle w:val="NormalTableau"/>
              <w:jc w:val="left"/>
              <w:rPr>
                <w:lang w:val="fr-LU"/>
              </w:rPr>
            </w:pPr>
            <w:r w:rsidRPr="004B32DC">
              <w:rPr>
                <w:lang w:val="fr-LU"/>
              </w:rPr>
              <w:t>Cabinets médicaux, paramédicaux et autres professions libérales</w:t>
            </w:r>
          </w:p>
        </w:tc>
        <w:tc>
          <w:tcPr>
            <w:tcW w:w="4400" w:type="dxa"/>
            <w:shd w:val="clear" w:color="auto" w:fill="auto"/>
            <w:vAlign w:val="center"/>
          </w:tcPr>
          <w:p w14:paraId="0DD532E6" w14:textId="77777777" w:rsidR="003D481A" w:rsidRPr="004B32DC" w:rsidRDefault="003D481A" w:rsidP="003D481A">
            <w:pPr>
              <w:pStyle w:val="NormalTableau"/>
              <w:jc w:val="left"/>
              <w:rPr>
                <w:lang w:val="fr-LU"/>
              </w:rPr>
            </w:pPr>
            <w:r w:rsidRPr="004B32DC">
              <w:rPr>
                <w:lang w:val="fr-LU"/>
              </w:rPr>
              <w:t>min. 1 emplacement par tranche de 60m</w:t>
            </w:r>
            <w:r w:rsidRPr="004B32DC">
              <w:rPr>
                <w:vertAlign w:val="superscript"/>
                <w:lang w:val="fr-LU"/>
              </w:rPr>
              <w:t>2</w:t>
            </w:r>
            <w:r w:rsidRPr="004B32DC">
              <w:rPr>
                <w:lang w:val="fr-LU"/>
              </w:rPr>
              <w:t xml:space="preserve"> de surface construite brute avec un min. de 3 emplacements par établissement</w:t>
            </w:r>
          </w:p>
        </w:tc>
      </w:tr>
      <w:tr w:rsidR="003D481A" w:rsidRPr="004B32DC" w14:paraId="14B667E4" w14:textId="77777777" w:rsidTr="003D481A">
        <w:trPr>
          <w:jc w:val="center"/>
        </w:trPr>
        <w:tc>
          <w:tcPr>
            <w:tcW w:w="3969" w:type="dxa"/>
            <w:shd w:val="clear" w:color="auto" w:fill="auto"/>
            <w:vAlign w:val="center"/>
          </w:tcPr>
          <w:p w14:paraId="0B59CBA9" w14:textId="319A03C6" w:rsidR="003D481A" w:rsidRPr="004B32DC" w:rsidRDefault="003D481A" w:rsidP="003D481A">
            <w:pPr>
              <w:pStyle w:val="NormalTableau"/>
              <w:jc w:val="left"/>
              <w:rPr>
                <w:lang w:val="fr-LU"/>
              </w:rPr>
            </w:pPr>
            <w:r w:rsidRPr="004B32DC">
              <w:rPr>
                <w:lang w:val="fr-LU"/>
              </w:rPr>
              <w:t>Commerces d’une surface de vente totale inférieure ou égale à 2000m</w:t>
            </w:r>
            <w:r w:rsidRPr="004B32DC">
              <w:rPr>
                <w:vertAlign w:val="superscript"/>
                <w:lang w:val="fr-LU"/>
              </w:rPr>
              <w:t>2</w:t>
            </w:r>
          </w:p>
        </w:tc>
        <w:tc>
          <w:tcPr>
            <w:tcW w:w="4400" w:type="dxa"/>
            <w:shd w:val="clear" w:color="auto" w:fill="auto"/>
            <w:vAlign w:val="center"/>
          </w:tcPr>
          <w:p w14:paraId="0EE6C74C" w14:textId="5EA6B132" w:rsidR="003D481A" w:rsidRPr="004B32DC" w:rsidRDefault="003D481A" w:rsidP="003D481A">
            <w:pPr>
              <w:pStyle w:val="NormalTableau"/>
              <w:jc w:val="left"/>
              <w:rPr>
                <w:lang w:val="fr-LU"/>
              </w:rPr>
            </w:pPr>
            <w:r w:rsidRPr="004B32DC">
              <w:rPr>
                <w:lang w:val="fr-LU"/>
              </w:rPr>
              <w:t>min. 1 emplacement par tranche de 60m</w:t>
            </w:r>
            <w:r w:rsidRPr="004B32DC">
              <w:rPr>
                <w:vertAlign w:val="superscript"/>
                <w:lang w:val="fr-LU"/>
              </w:rPr>
              <w:t>2</w:t>
            </w:r>
            <w:r w:rsidRPr="004B32DC">
              <w:rPr>
                <w:lang w:val="fr-LU"/>
              </w:rPr>
              <w:t xml:space="preserve"> de surface de vente -</w:t>
            </w:r>
          </w:p>
          <w:p w14:paraId="46786B3A" w14:textId="77777777" w:rsidR="003D481A" w:rsidRPr="004B32DC" w:rsidRDefault="003D481A" w:rsidP="003D481A">
            <w:pPr>
              <w:pStyle w:val="NormalTableau"/>
              <w:jc w:val="left"/>
              <w:rPr>
                <w:lang w:val="fr-LU"/>
              </w:rPr>
            </w:pPr>
            <w:r w:rsidRPr="004B32DC">
              <w:rPr>
                <w:lang w:val="fr-LU"/>
              </w:rPr>
              <w:t>max. 1 emplacement par tranche de 30m</w:t>
            </w:r>
            <w:r w:rsidRPr="004B32DC">
              <w:rPr>
                <w:vertAlign w:val="superscript"/>
                <w:lang w:val="fr-LU"/>
              </w:rPr>
              <w:t>2</w:t>
            </w:r>
            <w:r w:rsidRPr="004B32DC">
              <w:rPr>
                <w:lang w:val="fr-LU"/>
              </w:rPr>
              <w:t xml:space="preserve"> de surface de vente</w:t>
            </w:r>
          </w:p>
        </w:tc>
      </w:tr>
      <w:tr w:rsidR="003D481A" w:rsidRPr="004B32DC" w14:paraId="02980F3E" w14:textId="77777777" w:rsidTr="003D481A">
        <w:trPr>
          <w:jc w:val="center"/>
        </w:trPr>
        <w:tc>
          <w:tcPr>
            <w:tcW w:w="3969" w:type="dxa"/>
            <w:shd w:val="clear" w:color="auto" w:fill="auto"/>
            <w:vAlign w:val="center"/>
          </w:tcPr>
          <w:p w14:paraId="35A88EC5" w14:textId="1E050940" w:rsidR="003D481A" w:rsidRPr="004B32DC" w:rsidRDefault="003D481A" w:rsidP="008C7D60">
            <w:pPr>
              <w:pStyle w:val="NormalTableau"/>
              <w:jc w:val="left"/>
              <w:rPr>
                <w:lang w:val="fr-LU"/>
              </w:rPr>
            </w:pPr>
            <w:r w:rsidRPr="004B32DC">
              <w:rPr>
                <w:lang w:val="fr-LU"/>
              </w:rPr>
              <w:t>Grandes surfaces commerciales d’une surface de vente totale supérieure à 2000m</w:t>
            </w:r>
            <w:r w:rsidRPr="004B32DC">
              <w:rPr>
                <w:vertAlign w:val="superscript"/>
                <w:lang w:val="fr-LU"/>
              </w:rPr>
              <w:t>2</w:t>
            </w:r>
          </w:p>
        </w:tc>
        <w:tc>
          <w:tcPr>
            <w:tcW w:w="4400" w:type="dxa"/>
            <w:shd w:val="clear" w:color="auto" w:fill="auto"/>
            <w:vAlign w:val="center"/>
          </w:tcPr>
          <w:p w14:paraId="1E79DFAE" w14:textId="694DCF2B" w:rsidR="003D481A" w:rsidRPr="004B32DC" w:rsidRDefault="003D481A" w:rsidP="003D481A">
            <w:pPr>
              <w:pStyle w:val="NormalTableau"/>
              <w:jc w:val="left"/>
              <w:rPr>
                <w:lang w:val="fr-LU"/>
              </w:rPr>
            </w:pPr>
            <w:r w:rsidRPr="004B32DC">
              <w:rPr>
                <w:lang w:val="fr-LU"/>
              </w:rPr>
              <w:t>min. 1 emplacement par tranche de 60m</w:t>
            </w:r>
            <w:r w:rsidRPr="004B32DC">
              <w:rPr>
                <w:vertAlign w:val="superscript"/>
                <w:lang w:val="fr-LU"/>
              </w:rPr>
              <w:t>2</w:t>
            </w:r>
            <w:r w:rsidRPr="004B32DC">
              <w:rPr>
                <w:lang w:val="fr-LU"/>
              </w:rPr>
              <w:t xml:space="preserve"> de surface de vente –</w:t>
            </w:r>
          </w:p>
          <w:p w14:paraId="4486CDF5" w14:textId="77777777" w:rsidR="003D481A" w:rsidRPr="004B32DC" w:rsidRDefault="003D481A" w:rsidP="003D481A">
            <w:pPr>
              <w:pStyle w:val="NormalTableau"/>
              <w:jc w:val="left"/>
              <w:rPr>
                <w:lang w:val="fr-LU"/>
              </w:rPr>
            </w:pPr>
            <w:r w:rsidRPr="004B32DC">
              <w:rPr>
                <w:lang w:val="fr-LU"/>
              </w:rPr>
              <w:t>max. 1 emplacement par tranche de 20m</w:t>
            </w:r>
            <w:r w:rsidRPr="004B32DC">
              <w:rPr>
                <w:vertAlign w:val="superscript"/>
                <w:lang w:val="fr-LU"/>
              </w:rPr>
              <w:t>2</w:t>
            </w:r>
            <w:r w:rsidRPr="004B32DC">
              <w:rPr>
                <w:lang w:val="fr-LU"/>
              </w:rPr>
              <w:t xml:space="preserve"> de surface de vente</w:t>
            </w:r>
          </w:p>
        </w:tc>
      </w:tr>
      <w:tr w:rsidR="003D481A" w:rsidRPr="004B32DC" w14:paraId="0F5B7FAD" w14:textId="77777777" w:rsidTr="003D481A">
        <w:trPr>
          <w:jc w:val="center"/>
        </w:trPr>
        <w:tc>
          <w:tcPr>
            <w:tcW w:w="3969" w:type="dxa"/>
            <w:shd w:val="clear" w:color="auto" w:fill="auto"/>
            <w:vAlign w:val="center"/>
          </w:tcPr>
          <w:p w14:paraId="326E8799" w14:textId="43D08D7B" w:rsidR="003D481A" w:rsidRPr="004B32DC" w:rsidRDefault="003D481A" w:rsidP="008C7D60">
            <w:pPr>
              <w:pStyle w:val="NormalTableau"/>
              <w:jc w:val="left"/>
              <w:rPr>
                <w:lang w:val="fr-LU"/>
              </w:rPr>
            </w:pPr>
            <w:r w:rsidRPr="004B32DC">
              <w:rPr>
                <w:lang w:val="fr-LU"/>
              </w:rPr>
              <w:t>Établissements artisanaux et</w:t>
            </w:r>
            <w:r w:rsidR="008C7D60" w:rsidRPr="004B32DC">
              <w:rPr>
                <w:lang w:val="fr-LU"/>
              </w:rPr>
              <w:t xml:space="preserve"> </w:t>
            </w:r>
            <w:r w:rsidRPr="004B32DC">
              <w:rPr>
                <w:lang w:val="fr-LU"/>
              </w:rPr>
              <w:t>d’industrie légère</w:t>
            </w:r>
          </w:p>
        </w:tc>
        <w:tc>
          <w:tcPr>
            <w:tcW w:w="4400" w:type="dxa"/>
            <w:shd w:val="clear" w:color="auto" w:fill="auto"/>
            <w:vAlign w:val="center"/>
          </w:tcPr>
          <w:p w14:paraId="5554D26C" w14:textId="691191CA" w:rsidR="003D481A" w:rsidRPr="004B32DC" w:rsidRDefault="003D481A" w:rsidP="003D481A">
            <w:pPr>
              <w:pStyle w:val="NormalTableau"/>
              <w:jc w:val="left"/>
              <w:rPr>
                <w:lang w:val="fr-LU"/>
              </w:rPr>
            </w:pPr>
            <w:r w:rsidRPr="004B32DC">
              <w:rPr>
                <w:lang w:val="fr-LU"/>
              </w:rPr>
              <w:t>min. 1 emplacement par tranche de 75m</w:t>
            </w:r>
            <w:r w:rsidRPr="004B32DC">
              <w:rPr>
                <w:vertAlign w:val="superscript"/>
                <w:lang w:val="fr-LU"/>
              </w:rPr>
              <w:t>2</w:t>
            </w:r>
            <w:r w:rsidRPr="004B32DC">
              <w:rPr>
                <w:lang w:val="fr-LU"/>
              </w:rPr>
              <w:t xml:space="preserve"> de surface construite brute –</w:t>
            </w:r>
          </w:p>
          <w:p w14:paraId="32194AE8" w14:textId="6212E52C" w:rsidR="003D481A" w:rsidRPr="004B32DC" w:rsidRDefault="003D481A" w:rsidP="003D481A">
            <w:pPr>
              <w:pStyle w:val="NormalTableau"/>
              <w:jc w:val="left"/>
              <w:rPr>
                <w:lang w:val="fr-LU"/>
              </w:rPr>
            </w:pPr>
            <w:r w:rsidRPr="004B32DC">
              <w:rPr>
                <w:lang w:val="fr-LU"/>
              </w:rPr>
              <w:t>max. 1 emplacement par tranche de 50m</w:t>
            </w:r>
            <w:r w:rsidRPr="004B32DC">
              <w:rPr>
                <w:vertAlign w:val="superscript"/>
                <w:lang w:val="fr-LU"/>
              </w:rPr>
              <w:t>2</w:t>
            </w:r>
            <w:r w:rsidRPr="004B32DC">
              <w:rPr>
                <w:lang w:val="fr-LU"/>
              </w:rPr>
              <w:t xml:space="preserve"> de surface construite brute</w:t>
            </w:r>
          </w:p>
        </w:tc>
      </w:tr>
      <w:tr w:rsidR="003D481A" w:rsidRPr="004B32DC" w14:paraId="08D4C445" w14:textId="77777777" w:rsidTr="003D481A">
        <w:trPr>
          <w:jc w:val="center"/>
        </w:trPr>
        <w:tc>
          <w:tcPr>
            <w:tcW w:w="3969" w:type="dxa"/>
            <w:shd w:val="clear" w:color="auto" w:fill="auto"/>
            <w:vAlign w:val="center"/>
          </w:tcPr>
          <w:p w14:paraId="443DB7B6" w14:textId="77777777" w:rsidR="003D481A" w:rsidRPr="004B32DC" w:rsidRDefault="003D481A" w:rsidP="003D481A">
            <w:pPr>
              <w:pStyle w:val="NormalTableau"/>
              <w:jc w:val="left"/>
              <w:rPr>
                <w:lang w:val="fr-LU"/>
              </w:rPr>
            </w:pPr>
            <w:r w:rsidRPr="004B32DC">
              <w:rPr>
                <w:lang w:val="fr-LU"/>
              </w:rPr>
              <w:t>Cafés, restaurants et débits de boissons</w:t>
            </w:r>
          </w:p>
        </w:tc>
        <w:tc>
          <w:tcPr>
            <w:tcW w:w="4400" w:type="dxa"/>
            <w:shd w:val="clear" w:color="auto" w:fill="auto"/>
            <w:vAlign w:val="center"/>
          </w:tcPr>
          <w:p w14:paraId="18D212FE" w14:textId="047E7DEC" w:rsidR="003D481A" w:rsidRPr="004B32DC" w:rsidRDefault="003D481A" w:rsidP="003D481A">
            <w:pPr>
              <w:pStyle w:val="NormalTableau"/>
              <w:jc w:val="left"/>
              <w:rPr>
                <w:lang w:val="fr-LU"/>
              </w:rPr>
            </w:pPr>
            <w:r w:rsidRPr="004B32DC">
              <w:rPr>
                <w:lang w:val="fr-LU"/>
              </w:rPr>
              <w:t>min. 1 emplacement par tranche de 20m</w:t>
            </w:r>
            <w:r w:rsidRPr="004B32DC">
              <w:rPr>
                <w:vertAlign w:val="superscript"/>
                <w:lang w:val="fr-LU"/>
              </w:rPr>
              <w:t>2</w:t>
            </w:r>
            <w:r w:rsidR="008C7D60" w:rsidRPr="004B32DC">
              <w:rPr>
                <w:lang w:val="fr-LU"/>
              </w:rPr>
              <w:t xml:space="preserve"> </w:t>
            </w:r>
            <w:r w:rsidRPr="004B32DC">
              <w:rPr>
                <w:lang w:val="fr-LU"/>
              </w:rPr>
              <w:t>de surface construite brute</w:t>
            </w:r>
          </w:p>
          <w:p w14:paraId="4E2F54CB" w14:textId="247BB838" w:rsidR="003D481A" w:rsidRPr="004B32DC" w:rsidRDefault="003D481A" w:rsidP="003D481A">
            <w:pPr>
              <w:pStyle w:val="NormalTableau"/>
              <w:jc w:val="left"/>
              <w:rPr>
                <w:lang w:val="fr-LU"/>
              </w:rPr>
            </w:pPr>
            <w:r w:rsidRPr="004B32DC">
              <w:rPr>
                <w:lang w:val="fr-LU"/>
              </w:rPr>
              <w:lastRenderedPageBreak/>
              <w:t>max. 1 emplacement par tranche de 10m</w:t>
            </w:r>
            <w:r w:rsidRPr="004B32DC">
              <w:rPr>
                <w:vertAlign w:val="superscript"/>
                <w:lang w:val="fr-LU"/>
              </w:rPr>
              <w:t>2</w:t>
            </w:r>
            <w:r w:rsidRPr="004B32DC">
              <w:rPr>
                <w:lang w:val="fr-LU"/>
              </w:rPr>
              <w:t xml:space="preserve"> de surface construite brute</w:t>
            </w:r>
          </w:p>
        </w:tc>
      </w:tr>
      <w:tr w:rsidR="003D481A" w:rsidRPr="004B32DC" w14:paraId="2A4C80F6" w14:textId="77777777" w:rsidTr="008C7D60">
        <w:trPr>
          <w:trHeight w:val="720"/>
          <w:jc w:val="center"/>
        </w:trPr>
        <w:tc>
          <w:tcPr>
            <w:tcW w:w="3969" w:type="dxa"/>
            <w:shd w:val="clear" w:color="auto" w:fill="auto"/>
            <w:vAlign w:val="center"/>
          </w:tcPr>
          <w:p w14:paraId="657A3A58" w14:textId="77777777" w:rsidR="003D481A" w:rsidRPr="004B32DC" w:rsidRDefault="003D481A" w:rsidP="003D481A">
            <w:pPr>
              <w:pStyle w:val="NormalTableau"/>
              <w:jc w:val="left"/>
              <w:rPr>
                <w:lang w:val="fr-LU"/>
              </w:rPr>
            </w:pPr>
            <w:r w:rsidRPr="004B32DC">
              <w:rPr>
                <w:lang w:val="fr-LU"/>
              </w:rPr>
              <w:lastRenderedPageBreak/>
              <w:t>Constructions hôtelières, établissements d’hébergement, maisons de soins et de retraite, centres intégrés pour personnes âgées</w:t>
            </w:r>
          </w:p>
        </w:tc>
        <w:tc>
          <w:tcPr>
            <w:tcW w:w="4400" w:type="dxa"/>
            <w:shd w:val="clear" w:color="auto" w:fill="auto"/>
            <w:vAlign w:val="center"/>
          </w:tcPr>
          <w:p w14:paraId="1D1D336A" w14:textId="77777777" w:rsidR="003D481A" w:rsidRPr="004B32DC" w:rsidRDefault="003D481A" w:rsidP="003D481A">
            <w:pPr>
              <w:pStyle w:val="NormalTableau"/>
              <w:jc w:val="left"/>
              <w:rPr>
                <w:lang w:val="fr-LU"/>
              </w:rPr>
            </w:pPr>
            <w:r w:rsidRPr="004B32DC">
              <w:rPr>
                <w:lang w:val="fr-LU"/>
              </w:rPr>
              <w:t>min. 1 emplacement par chambre</w:t>
            </w:r>
          </w:p>
          <w:p w14:paraId="044A1D23" w14:textId="77777777" w:rsidR="003D481A" w:rsidRPr="004B32DC" w:rsidRDefault="003D481A" w:rsidP="003D481A">
            <w:pPr>
              <w:pStyle w:val="NormalTableau"/>
              <w:jc w:val="left"/>
              <w:rPr>
                <w:lang w:val="fr-LU"/>
              </w:rPr>
            </w:pPr>
            <w:r w:rsidRPr="004B32DC">
              <w:rPr>
                <w:lang w:val="fr-LU"/>
              </w:rPr>
              <w:t>max. 1,5 emplacement par chambre</w:t>
            </w:r>
          </w:p>
        </w:tc>
      </w:tr>
      <w:tr w:rsidR="003D481A" w:rsidRPr="004B32DC" w14:paraId="3D410B2C" w14:textId="77777777" w:rsidTr="003D481A">
        <w:trPr>
          <w:jc w:val="center"/>
        </w:trPr>
        <w:tc>
          <w:tcPr>
            <w:tcW w:w="3969" w:type="dxa"/>
            <w:shd w:val="clear" w:color="auto" w:fill="auto"/>
            <w:vAlign w:val="center"/>
          </w:tcPr>
          <w:p w14:paraId="53FC2E83" w14:textId="3957143C" w:rsidR="003D481A" w:rsidRPr="004B32DC" w:rsidRDefault="003D481A" w:rsidP="003D481A">
            <w:pPr>
              <w:pStyle w:val="NormalTableau"/>
              <w:jc w:val="left"/>
              <w:rPr>
                <w:lang w:val="fr-LU"/>
              </w:rPr>
            </w:pPr>
            <w:r w:rsidRPr="004B32DC">
              <w:rPr>
                <w:lang w:val="fr-LU"/>
              </w:rPr>
              <w:t>Constructions culturelles, salles de réunion, des fêtes et polyvalentes</w:t>
            </w:r>
          </w:p>
        </w:tc>
        <w:tc>
          <w:tcPr>
            <w:tcW w:w="4400" w:type="dxa"/>
            <w:shd w:val="clear" w:color="auto" w:fill="auto"/>
            <w:vAlign w:val="center"/>
          </w:tcPr>
          <w:p w14:paraId="0C914CEE" w14:textId="77777777" w:rsidR="003D481A" w:rsidRPr="004B32DC" w:rsidRDefault="003D481A" w:rsidP="003D481A">
            <w:pPr>
              <w:pStyle w:val="NormalTableau"/>
              <w:jc w:val="left"/>
              <w:rPr>
                <w:lang w:val="fr-LU"/>
              </w:rPr>
            </w:pPr>
            <w:r w:rsidRPr="004B32DC">
              <w:rPr>
                <w:lang w:val="fr-LU"/>
              </w:rPr>
              <w:t>min. 1 emplacement par tranche de 15 sièges</w:t>
            </w:r>
          </w:p>
        </w:tc>
      </w:tr>
      <w:tr w:rsidR="003D481A" w:rsidRPr="004B32DC" w14:paraId="71716A80" w14:textId="77777777" w:rsidTr="003D481A">
        <w:trPr>
          <w:jc w:val="center"/>
        </w:trPr>
        <w:tc>
          <w:tcPr>
            <w:tcW w:w="3969" w:type="dxa"/>
            <w:shd w:val="clear" w:color="auto" w:fill="auto"/>
            <w:vAlign w:val="center"/>
          </w:tcPr>
          <w:p w14:paraId="0356601E" w14:textId="5CB01E1B" w:rsidR="003D481A" w:rsidRPr="004B32DC" w:rsidRDefault="003D481A" w:rsidP="003D481A">
            <w:pPr>
              <w:pStyle w:val="NormalTableau"/>
              <w:jc w:val="left"/>
              <w:rPr>
                <w:lang w:val="fr-LU"/>
              </w:rPr>
            </w:pPr>
            <w:r w:rsidRPr="004B32DC">
              <w:rPr>
                <w:lang w:val="fr-LU"/>
              </w:rPr>
              <w:t>Stations-services et garages automobiles</w:t>
            </w:r>
          </w:p>
        </w:tc>
        <w:tc>
          <w:tcPr>
            <w:tcW w:w="4400" w:type="dxa"/>
            <w:shd w:val="clear" w:color="auto" w:fill="auto"/>
            <w:vAlign w:val="center"/>
          </w:tcPr>
          <w:p w14:paraId="23B21D2A" w14:textId="6B7FE99E" w:rsidR="003D481A" w:rsidRPr="004B32DC" w:rsidRDefault="003D481A" w:rsidP="003D481A">
            <w:pPr>
              <w:pStyle w:val="NormalTableau"/>
              <w:jc w:val="left"/>
              <w:rPr>
                <w:lang w:val="fr-LU"/>
              </w:rPr>
            </w:pPr>
            <w:r w:rsidRPr="004B32DC">
              <w:rPr>
                <w:lang w:val="fr-LU"/>
              </w:rPr>
              <w:t>min. 1 emplacement par tranche de 60m</w:t>
            </w:r>
            <w:r w:rsidRPr="004B32DC">
              <w:rPr>
                <w:vertAlign w:val="superscript"/>
                <w:lang w:val="fr-LU"/>
              </w:rPr>
              <w:t>2</w:t>
            </w:r>
            <w:r w:rsidRPr="004B32DC">
              <w:rPr>
                <w:lang w:val="fr-LU"/>
              </w:rPr>
              <w:t xml:space="preserve"> de surface construite brute</w:t>
            </w:r>
          </w:p>
          <w:p w14:paraId="0315ABEE" w14:textId="25323D40" w:rsidR="003D481A" w:rsidRPr="004B32DC" w:rsidRDefault="003D481A" w:rsidP="003D481A">
            <w:pPr>
              <w:pStyle w:val="NormalTableau"/>
              <w:jc w:val="left"/>
              <w:rPr>
                <w:lang w:val="fr-LU"/>
              </w:rPr>
            </w:pPr>
            <w:r w:rsidRPr="004B32DC">
              <w:rPr>
                <w:lang w:val="fr-LU"/>
              </w:rPr>
              <w:t>max. 1 emplacement par tranche de 30m</w:t>
            </w:r>
            <w:r w:rsidRPr="004B32DC">
              <w:rPr>
                <w:vertAlign w:val="superscript"/>
                <w:lang w:val="fr-LU"/>
              </w:rPr>
              <w:t>2</w:t>
            </w:r>
            <w:r w:rsidRPr="004B32DC">
              <w:rPr>
                <w:lang w:val="fr-LU"/>
              </w:rPr>
              <w:t xml:space="preserve"> de surface construite brute</w:t>
            </w:r>
          </w:p>
        </w:tc>
      </w:tr>
      <w:tr w:rsidR="003D481A" w:rsidRPr="004B32DC" w14:paraId="4B685030" w14:textId="77777777" w:rsidTr="003D481A">
        <w:trPr>
          <w:jc w:val="center"/>
        </w:trPr>
        <w:tc>
          <w:tcPr>
            <w:tcW w:w="3969" w:type="dxa"/>
            <w:shd w:val="clear" w:color="auto" w:fill="auto"/>
            <w:vAlign w:val="center"/>
          </w:tcPr>
          <w:p w14:paraId="270FB4AD" w14:textId="77777777" w:rsidR="003D481A" w:rsidRPr="004B32DC" w:rsidRDefault="003D481A" w:rsidP="003D481A">
            <w:pPr>
              <w:pStyle w:val="NormalTableau"/>
              <w:jc w:val="left"/>
              <w:rPr>
                <w:lang w:val="fr-LU"/>
              </w:rPr>
            </w:pPr>
            <w:r w:rsidRPr="004B32DC">
              <w:rPr>
                <w:lang w:val="fr-LU"/>
              </w:rPr>
              <w:t>Services d’éducation et d’accueil pour enfants agréés par le ministère ayant l’éducation nationale, l’enfance et la jeunesse dans ses attributions, crèches</w:t>
            </w:r>
          </w:p>
        </w:tc>
        <w:tc>
          <w:tcPr>
            <w:tcW w:w="4400" w:type="dxa"/>
            <w:shd w:val="clear" w:color="auto" w:fill="auto"/>
            <w:vAlign w:val="center"/>
          </w:tcPr>
          <w:p w14:paraId="20932B4A" w14:textId="77777777" w:rsidR="003D481A" w:rsidRPr="004B32DC" w:rsidRDefault="003D481A" w:rsidP="003D481A">
            <w:pPr>
              <w:pStyle w:val="NormalTableau"/>
              <w:jc w:val="left"/>
              <w:rPr>
                <w:lang w:val="fr-LU"/>
              </w:rPr>
            </w:pPr>
            <w:r w:rsidRPr="004B32DC">
              <w:rPr>
                <w:lang w:val="fr-LU"/>
              </w:rPr>
              <w:t>min. 1 emplacement par tranche de 50m</w:t>
            </w:r>
            <w:r w:rsidRPr="004B32DC">
              <w:rPr>
                <w:vertAlign w:val="superscript"/>
                <w:lang w:val="fr-LU"/>
              </w:rPr>
              <w:t>2</w:t>
            </w:r>
            <w:r w:rsidRPr="004B32DC">
              <w:rPr>
                <w:lang w:val="fr-LU"/>
              </w:rPr>
              <w:t xml:space="preserve"> de surface construite brute, avec un min. de 3 emplacements par établissement</w:t>
            </w:r>
          </w:p>
          <w:p w14:paraId="48F07293" w14:textId="77777777" w:rsidR="003D481A" w:rsidRPr="004B32DC" w:rsidRDefault="003D481A" w:rsidP="003D481A">
            <w:pPr>
              <w:pStyle w:val="NormalTableau"/>
              <w:jc w:val="left"/>
              <w:rPr>
                <w:lang w:val="fr-LU"/>
              </w:rPr>
            </w:pPr>
            <w:r w:rsidRPr="004B32DC">
              <w:rPr>
                <w:lang w:val="fr-LU"/>
              </w:rPr>
              <w:t>max. 1 emplacement par tranche de 20m</w:t>
            </w:r>
            <w:r w:rsidRPr="004B32DC">
              <w:rPr>
                <w:vertAlign w:val="superscript"/>
                <w:lang w:val="fr-LU"/>
              </w:rPr>
              <w:t>2</w:t>
            </w:r>
            <w:r w:rsidRPr="004B32DC">
              <w:rPr>
                <w:lang w:val="fr-LU"/>
              </w:rPr>
              <w:t xml:space="preserve"> de surface construite brute</w:t>
            </w:r>
          </w:p>
        </w:tc>
      </w:tr>
    </w:tbl>
    <w:p w14:paraId="0F017383" w14:textId="558E8773" w:rsidR="003D481A" w:rsidRPr="004B32DC" w:rsidRDefault="003D481A" w:rsidP="002C7C62">
      <w:pPr>
        <w:rPr>
          <w:lang w:val="fr-LU"/>
        </w:rPr>
      </w:pPr>
    </w:p>
    <w:p w14:paraId="1818FF26" w14:textId="0BF3B0A8" w:rsidR="008C7D60" w:rsidRPr="004B32DC" w:rsidRDefault="008C7D60" w:rsidP="008C7D60">
      <w:pPr>
        <w:rPr>
          <w:lang w:val="fr-LU"/>
        </w:rPr>
      </w:pPr>
      <w:r w:rsidRPr="004B32DC">
        <w:rPr>
          <w:lang w:val="fr-LU"/>
        </w:rPr>
        <w:t>Le nombre d’emplacements de stationnement est à arrondir à l'entier supérieur.</w:t>
      </w:r>
    </w:p>
    <w:p w14:paraId="4BE9CC5D" w14:textId="1ECCDBAD" w:rsidR="008C7D60" w:rsidRPr="004B32DC" w:rsidRDefault="008C7D60" w:rsidP="008C7D60">
      <w:pPr>
        <w:rPr>
          <w:lang w:val="fr-LU"/>
        </w:rPr>
      </w:pPr>
      <w:r w:rsidRPr="004B32DC">
        <w:rPr>
          <w:lang w:val="fr-LU"/>
        </w:rPr>
        <w:t>Pour les constructions plurifamiliales, min. 1 emplacement de stationnement par logement est à aménager sous forme de garage ou de car-port.</w:t>
      </w:r>
    </w:p>
    <w:p w14:paraId="6351E89F" w14:textId="77777777" w:rsidR="008C7D60" w:rsidRPr="004B32DC" w:rsidRDefault="008C7D60" w:rsidP="008C7D60">
      <w:pPr>
        <w:rPr>
          <w:lang w:val="fr-LU"/>
        </w:rPr>
      </w:pPr>
      <w:r w:rsidRPr="004B32DC">
        <w:rPr>
          <w:lang w:val="fr-LU"/>
        </w:rPr>
        <w:t>Dans le cas où une construction abrite plusieurs usages, le calcul du nombre d’emplacements de stationnement pour chaque usage, se fait en fonction de la surface construite brute partielle de chaque usage, divisée dans l’axe des murs séparant ces usages, à laquelle s’ajoute la surface de circulation et les sanitaires divisée au prorata de chaque usage par étage. (Les parkings et les locaux techniques ne sont pas pris en compte.)</w:t>
      </w:r>
    </w:p>
    <w:p w14:paraId="7509831F" w14:textId="77777777" w:rsidR="008C7D60" w:rsidRPr="004B32DC" w:rsidRDefault="008C7D60" w:rsidP="008C7D60">
      <w:pPr>
        <w:rPr>
          <w:lang w:val="fr-LU"/>
        </w:rPr>
      </w:pPr>
      <w:r w:rsidRPr="004B32DC">
        <w:rPr>
          <w:lang w:val="fr-LU"/>
        </w:rPr>
        <w:t>Les établissements abritant des services, des commerces, de l’artisanat et de l’industrie, les cafés, les restaurants, les débits de boissons et les crèches, doivent, en outre, prévoir sur leur terrain, un nombre suffisant d’emplacements de stationnement pour leurs véhicules utilitaires et commerciaux. L’établissement en question doit fournir une justification du nombre des véhicules utilitaires et commerciaux à sa disposition. Ces emplacements ne doivent, en aucun cas, être utilisés par le personnel ou les clients de l’établissement.</w:t>
      </w:r>
    </w:p>
    <w:p w14:paraId="36B5CD15" w14:textId="77777777" w:rsidR="008C7D60" w:rsidRPr="004B32DC" w:rsidRDefault="008C7D60" w:rsidP="008C7D60">
      <w:pPr>
        <w:rPr>
          <w:lang w:val="fr-LU"/>
        </w:rPr>
      </w:pPr>
      <w:r w:rsidRPr="004B32DC">
        <w:rPr>
          <w:lang w:val="fr-LU"/>
        </w:rPr>
        <w:t>Dans le cas où les véhicules motorisés constituent une marchandise, les emplacements qui leur sont attribués, sont considérés comme entrepôt et non comme stationnement.</w:t>
      </w:r>
    </w:p>
    <w:p w14:paraId="70C27B0C" w14:textId="77777777" w:rsidR="008C7D60" w:rsidRPr="004B32DC" w:rsidRDefault="008C7D60" w:rsidP="008C7D60">
      <w:pPr>
        <w:rPr>
          <w:lang w:val="fr-LU"/>
        </w:rPr>
      </w:pPr>
      <w:r w:rsidRPr="004B32DC">
        <w:rPr>
          <w:lang w:val="fr-LU"/>
        </w:rPr>
        <w:t>Sur l’ensemble du territoire communal, les garages collectifs privés sont interdits, s’ils ne se rapportent pas à une affectation principale comme, notamment, le logement ou les activités professionnelles. Les garages collectifs privés doivent être aménagés sur la même parcelle que l’affectation principale à laquelle ils se rapportent.</w:t>
      </w:r>
    </w:p>
    <w:p w14:paraId="57EF24BC" w14:textId="34143522" w:rsidR="008C7D60" w:rsidRPr="004B32DC" w:rsidRDefault="008C7D60" w:rsidP="008C7D60">
      <w:pPr>
        <w:rPr>
          <w:lang w:val="fr-LU"/>
        </w:rPr>
      </w:pPr>
      <w:r w:rsidRPr="004B32DC">
        <w:rPr>
          <w:lang w:val="fr-LU"/>
        </w:rPr>
        <w:t>Pour les usages ne figurant pas dans le tableau ci-dessus, le nombre de d'emplacements de stationnement est fixé en fonction de l’usage le plus proche repris au tableau qui précède.</w:t>
      </w:r>
    </w:p>
    <w:p w14:paraId="1F2CEEF6" w14:textId="32FB7321" w:rsidR="008C7D60" w:rsidRPr="004B32DC" w:rsidRDefault="008C7D60" w:rsidP="004B32DC">
      <w:pPr>
        <w:pStyle w:val="Heading1"/>
        <w:rPr>
          <w:lang w:val="fr-LU"/>
        </w:rPr>
      </w:pPr>
      <w:r w:rsidRPr="004B32DC">
        <w:rPr>
          <w:lang w:val="fr-LU"/>
        </w:rPr>
        <w:lastRenderedPageBreak/>
        <w:t xml:space="preserve">Art. </w:t>
      </w:r>
      <w:r w:rsidR="004B32DC" w:rsidRPr="004B32DC">
        <w:rPr>
          <w:lang w:val="fr-LU"/>
        </w:rPr>
        <w:t xml:space="preserve">25 </w:t>
      </w:r>
      <w:r w:rsidRPr="004B32DC">
        <w:rPr>
          <w:lang w:val="fr-LU"/>
        </w:rPr>
        <w:t>Emplacements de stationnement pour deux-roues légers</w:t>
      </w:r>
    </w:p>
    <w:p w14:paraId="06471ACE" w14:textId="0677DAA8" w:rsidR="008C7D60" w:rsidRPr="004B32DC" w:rsidRDefault="008C7D60" w:rsidP="008C7D60">
      <w:pPr>
        <w:rPr>
          <w:lang w:val="fr-LU"/>
        </w:rPr>
      </w:pPr>
      <w:r w:rsidRPr="004B32DC">
        <w:rPr>
          <w:lang w:val="fr-LU"/>
        </w:rPr>
        <w:t xml:space="preserve">Un nombre d’emplacements de stationnement pour deux-roues légers doit être prévus sur le terrain même pour les constructions plurifamiliales et dans les zones ECO-c1 et 2, COM et </w:t>
      </w:r>
      <w:r w:rsidR="004B32DC" w:rsidRPr="004B32DC">
        <w:rPr>
          <w:lang w:val="fr-LU"/>
        </w:rPr>
        <w:t>SPEC-1 selon le tableau suivant</w:t>
      </w:r>
      <w:r w:rsidRPr="004B32DC">
        <w:rPr>
          <w:lang w:val="fr-LU"/>
        </w:rPr>
        <w:t>:</w:t>
      </w:r>
    </w:p>
    <w:tbl>
      <w:tblPr>
        <w:tblStyle w:val="TableGrid"/>
        <w:tblW w:w="0" w:type="auto"/>
        <w:jc w:val="center"/>
        <w:tblLook w:val="04A0" w:firstRow="1" w:lastRow="0" w:firstColumn="1" w:lastColumn="0" w:noHBand="0" w:noVBand="1"/>
      </w:tblPr>
      <w:tblGrid>
        <w:gridCol w:w="4077"/>
        <w:gridCol w:w="3806"/>
      </w:tblGrid>
      <w:tr w:rsidR="004B32DC" w:rsidRPr="004B32DC" w14:paraId="4F9D0CF8" w14:textId="77777777" w:rsidTr="00435522">
        <w:trPr>
          <w:trHeight w:val="397"/>
          <w:jc w:val="center"/>
        </w:trPr>
        <w:tc>
          <w:tcPr>
            <w:tcW w:w="4077" w:type="dxa"/>
            <w:vAlign w:val="center"/>
          </w:tcPr>
          <w:p w14:paraId="06D7DD27" w14:textId="3CCBF549" w:rsidR="004B32DC" w:rsidRPr="00FA1F93" w:rsidRDefault="004B32DC" w:rsidP="00435522">
            <w:pPr>
              <w:pStyle w:val="NormalTableau"/>
              <w:jc w:val="left"/>
            </w:pPr>
            <w:r w:rsidRPr="00FA1F93">
              <w:t>Constructions plurifamiliales</w:t>
            </w:r>
          </w:p>
        </w:tc>
        <w:tc>
          <w:tcPr>
            <w:tcW w:w="3806" w:type="dxa"/>
            <w:vAlign w:val="center"/>
          </w:tcPr>
          <w:p w14:paraId="224BC3A3" w14:textId="77777777" w:rsidR="004B32DC" w:rsidRPr="00FA1F93" w:rsidRDefault="004B32DC" w:rsidP="00435522">
            <w:pPr>
              <w:pStyle w:val="NormalTableau"/>
              <w:jc w:val="left"/>
            </w:pPr>
            <w:r w:rsidRPr="00FA1F93">
              <w:t>min. 1 emplacement par logement</w:t>
            </w:r>
          </w:p>
        </w:tc>
      </w:tr>
      <w:tr w:rsidR="004B32DC" w:rsidRPr="004B32DC" w14:paraId="214C53A5" w14:textId="77777777" w:rsidTr="00435522">
        <w:trPr>
          <w:trHeight w:val="397"/>
          <w:jc w:val="center"/>
        </w:trPr>
        <w:tc>
          <w:tcPr>
            <w:tcW w:w="4077" w:type="dxa"/>
            <w:vAlign w:val="center"/>
          </w:tcPr>
          <w:p w14:paraId="57076E3E" w14:textId="77777777" w:rsidR="004B32DC" w:rsidRPr="00FA1F93" w:rsidRDefault="004B32DC" w:rsidP="00435522">
            <w:pPr>
              <w:pStyle w:val="NormalTableau"/>
              <w:jc w:val="left"/>
            </w:pPr>
            <w:r w:rsidRPr="00FA1F93">
              <w:t>Bureaux, services administratifs et professionnels</w:t>
            </w:r>
          </w:p>
        </w:tc>
        <w:tc>
          <w:tcPr>
            <w:tcW w:w="3806" w:type="dxa"/>
            <w:vAlign w:val="center"/>
          </w:tcPr>
          <w:p w14:paraId="531D2CCB" w14:textId="77777777" w:rsidR="004B32DC" w:rsidRPr="00FA1F93" w:rsidRDefault="004B32DC" w:rsidP="00435522">
            <w:pPr>
              <w:pStyle w:val="NormalTableau"/>
              <w:jc w:val="left"/>
            </w:pPr>
            <w:r w:rsidRPr="00FA1F93">
              <w:t>min. 1 emplacement par tranche de 500m</w:t>
            </w:r>
            <w:r w:rsidRPr="00FA1F93">
              <w:rPr>
                <w:vertAlign w:val="superscript"/>
              </w:rPr>
              <w:t>2</w:t>
            </w:r>
            <w:r w:rsidRPr="00FA1F93">
              <w:t xml:space="preserve"> de surface construite brute</w:t>
            </w:r>
          </w:p>
        </w:tc>
      </w:tr>
      <w:tr w:rsidR="004B32DC" w:rsidRPr="004B32DC" w14:paraId="41613466" w14:textId="77777777" w:rsidTr="00435522">
        <w:trPr>
          <w:trHeight w:val="397"/>
          <w:jc w:val="center"/>
        </w:trPr>
        <w:tc>
          <w:tcPr>
            <w:tcW w:w="4077" w:type="dxa"/>
            <w:vAlign w:val="center"/>
          </w:tcPr>
          <w:p w14:paraId="0831AA00" w14:textId="778DC297" w:rsidR="004B32DC" w:rsidRPr="00FA1F93" w:rsidRDefault="004B32DC" w:rsidP="00435522">
            <w:pPr>
              <w:pStyle w:val="NormalTableau"/>
              <w:jc w:val="left"/>
            </w:pPr>
            <w:r w:rsidRPr="00FA1F93">
              <w:t>Commerces d’une surface de vente totale inférieure ou égale à 2000m</w:t>
            </w:r>
            <w:r w:rsidRPr="00FA1F93">
              <w:rPr>
                <w:vertAlign w:val="superscript"/>
              </w:rPr>
              <w:t>2</w:t>
            </w:r>
          </w:p>
        </w:tc>
        <w:tc>
          <w:tcPr>
            <w:tcW w:w="3806" w:type="dxa"/>
            <w:vAlign w:val="center"/>
          </w:tcPr>
          <w:p w14:paraId="7453794B" w14:textId="77777777" w:rsidR="004B32DC" w:rsidRPr="00FA1F93" w:rsidRDefault="004B32DC" w:rsidP="00435522">
            <w:pPr>
              <w:pStyle w:val="NormalTableau"/>
              <w:jc w:val="left"/>
            </w:pPr>
            <w:r w:rsidRPr="00FA1F93">
              <w:t>min. 1 emplacement par tranche de 50m</w:t>
            </w:r>
            <w:r w:rsidRPr="00FA1F93">
              <w:rPr>
                <w:vertAlign w:val="superscript"/>
              </w:rPr>
              <w:t>2</w:t>
            </w:r>
            <w:r w:rsidRPr="00FA1F93">
              <w:t xml:space="preserve"> de surface de vente</w:t>
            </w:r>
          </w:p>
        </w:tc>
      </w:tr>
      <w:tr w:rsidR="004B32DC" w:rsidRPr="004B32DC" w14:paraId="494C9F02" w14:textId="77777777" w:rsidTr="00435522">
        <w:trPr>
          <w:trHeight w:val="397"/>
          <w:jc w:val="center"/>
        </w:trPr>
        <w:tc>
          <w:tcPr>
            <w:tcW w:w="4077" w:type="dxa"/>
            <w:vAlign w:val="center"/>
          </w:tcPr>
          <w:p w14:paraId="4923F429" w14:textId="146F093A" w:rsidR="004B32DC" w:rsidRPr="00FA1F93" w:rsidRDefault="004B32DC" w:rsidP="00435522">
            <w:pPr>
              <w:pStyle w:val="NormalTableau"/>
              <w:jc w:val="left"/>
            </w:pPr>
            <w:r w:rsidRPr="00FA1F93">
              <w:t>Commerces d’une surface de vente totale supérieure à 2000m</w:t>
            </w:r>
            <w:r w:rsidRPr="00FA1F93">
              <w:rPr>
                <w:vertAlign w:val="superscript"/>
              </w:rPr>
              <w:t>2</w:t>
            </w:r>
          </w:p>
        </w:tc>
        <w:tc>
          <w:tcPr>
            <w:tcW w:w="3806" w:type="dxa"/>
            <w:vAlign w:val="center"/>
          </w:tcPr>
          <w:p w14:paraId="035AB133" w14:textId="77777777" w:rsidR="004B32DC" w:rsidRPr="00FA1F93" w:rsidRDefault="004B32DC" w:rsidP="00435522">
            <w:pPr>
              <w:pStyle w:val="NormalTableau"/>
              <w:jc w:val="left"/>
            </w:pPr>
            <w:r w:rsidRPr="00FA1F93">
              <w:t>min. 1 emplacement par tranche de 200m</w:t>
            </w:r>
            <w:r w:rsidRPr="00FA1F93">
              <w:rPr>
                <w:vertAlign w:val="superscript"/>
              </w:rPr>
              <w:t>2</w:t>
            </w:r>
            <w:r w:rsidRPr="00FA1F93">
              <w:t xml:space="preserve"> de surface de vente</w:t>
            </w:r>
          </w:p>
        </w:tc>
      </w:tr>
      <w:tr w:rsidR="004B32DC" w:rsidRPr="004B32DC" w14:paraId="298F2C66" w14:textId="77777777" w:rsidTr="00435522">
        <w:trPr>
          <w:trHeight w:val="397"/>
          <w:jc w:val="center"/>
        </w:trPr>
        <w:tc>
          <w:tcPr>
            <w:tcW w:w="4077" w:type="dxa"/>
            <w:vAlign w:val="center"/>
          </w:tcPr>
          <w:p w14:paraId="1B7CF362" w14:textId="77777777" w:rsidR="004B32DC" w:rsidRPr="00FA1F93" w:rsidRDefault="004B32DC" w:rsidP="00435522">
            <w:pPr>
              <w:pStyle w:val="NormalTableau"/>
              <w:jc w:val="left"/>
            </w:pPr>
            <w:r w:rsidRPr="00FA1F93">
              <w:t>Cafés, restaurants et débits de boissons</w:t>
            </w:r>
          </w:p>
        </w:tc>
        <w:tc>
          <w:tcPr>
            <w:tcW w:w="3806" w:type="dxa"/>
            <w:vAlign w:val="center"/>
          </w:tcPr>
          <w:p w14:paraId="2391C068" w14:textId="77777777" w:rsidR="004B32DC" w:rsidRPr="00FA1F93" w:rsidRDefault="004B32DC" w:rsidP="00435522">
            <w:pPr>
              <w:pStyle w:val="NormalTableau"/>
              <w:jc w:val="left"/>
            </w:pPr>
            <w:r w:rsidRPr="00FA1F93">
              <w:t>min. 1 emplacement par tranche de 50m</w:t>
            </w:r>
            <w:r w:rsidRPr="00FA1F93">
              <w:rPr>
                <w:vertAlign w:val="superscript"/>
              </w:rPr>
              <w:t>2</w:t>
            </w:r>
            <w:r w:rsidRPr="00FA1F93">
              <w:t xml:space="preserve"> de surface construite brute</w:t>
            </w:r>
          </w:p>
        </w:tc>
      </w:tr>
      <w:tr w:rsidR="004B32DC" w:rsidRPr="004B32DC" w14:paraId="2968E923" w14:textId="77777777" w:rsidTr="00435522">
        <w:trPr>
          <w:trHeight w:val="397"/>
          <w:jc w:val="center"/>
        </w:trPr>
        <w:tc>
          <w:tcPr>
            <w:tcW w:w="4077" w:type="dxa"/>
            <w:vAlign w:val="center"/>
          </w:tcPr>
          <w:p w14:paraId="74A71DFE" w14:textId="77777777" w:rsidR="004B32DC" w:rsidRPr="00FA1F93" w:rsidRDefault="004B32DC" w:rsidP="00435522">
            <w:pPr>
              <w:pStyle w:val="NormalTableau"/>
              <w:jc w:val="left"/>
            </w:pPr>
            <w:r w:rsidRPr="00FA1F93">
              <w:t>Constructions hôtelières et établissements d’hébergement</w:t>
            </w:r>
          </w:p>
        </w:tc>
        <w:tc>
          <w:tcPr>
            <w:tcW w:w="3806" w:type="dxa"/>
            <w:vAlign w:val="center"/>
          </w:tcPr>
          <w:p w14:paraId="4A368A6A" w14:textId="77777777" w:rsidR="004B32DC" w:rsidRPr="00FA1F93" w:rsidRDefault="004B32DC" w:rsidP="00435522">
            <w:pPr>
              <w:pStyle w:val="NormalTableau"/>
              <w:jc w:val="left"/>
            </w:pPr>
            <w:r w:rsidRPr="00FA1F93">
              <w:t>min. 1 emplacement par tranche de 10 chambres</w:t>
            </w:r>
          </w:p>
        </w:tc>
      </w:tr>
    </w:tbl>
    <w:p w14:paraId="3F0C20D2" w14:textId="65ED3157" w:rsidR="004B32DC" w:rsidRDefault="004B32DC" w:rsidP="008C7D60">
      <w:pPr>
        <w:rPr>
          <w:lang w:val="fr-LU"/>
        </w:rPr>
      </w:pPr>
    </w:p>
    <w:p w14:paraId="578AC02E" w14:textId="191B251F" w:rsidR="004B32DC" w:rsidRPr="004B32DC" w:rsidRDefault="004B32DC" w:rsidP="008C7D60">
      <w:pPr>
        <w:rPr>
          <w:lang w:val="fr-LU"/>
        </w:rPr>
      </w:pPr>
      <w:r w:rsidRPr="004B32DC">
        <w:rPr>
          <w:lang w:val="fr-LU"/>
        </w:rPr>
        <w:t>Pour les usages ne figurant pas dans le tableau ci-dessus, le nombre de d'emplacements de stationnement est fixé en fonction de l’us</w:t>
      </w:r>
      <w:bookmarkStart w:id="0" w:name="_GoBack"/>
      <w:bookmarkEnd w:id="0"/>
      <w:r w:rsidRPr="004B32DC">
        <w:rPr>
          <w:lang w:val="fr-LU"/>
        </w:rPr>
        <w:t>age le plus proche repris au tableau qui précède.</w:t>
      </w:r>
    </w:p>
    <w:sectPr w:rsidR="004B32DC" w:rsidRPr="004B32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1F4C49"/>
    <w:multiLevelType w:val="hybridMultilevel"/>
    <w:tmpl w:val="C41853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7C62"/>
    <w:rsid w:val="00387019"/>
    <w:rsid w:val="0039622D"/>
    <w:rsid w:val="00397462"/>
    <w:rsid w:val="003A681A"/>
    <w:rsid w:val="003D481A"/>
    <w:rsid w:val="00435522"/>
    <w:rsid w:val="004B32DC"/>
    <w:rsid w:val="005D1D9B"/>
    <w:rsid w:val="006605E2"/>
    <w:rsid w:val="006653E2"/>
    <w:rsid w:val="00732511"/>
    <w:rsid w:val="007B41C9"/>
    <w:rsid w:val="007B5125"/>
    <w:rsid w:val="008A46DB"/>
    <w:rsid w:val="008C7D60"/>
    <w:rsid w:val="009D6555"/>
    <w:rsid w:val="00A610F9"/>
    <w:rsid w:val="00AD5B20"/>
    <w:rsid w:val="00B11E93"/>
    <w:rsid w:val="00B208F3"/>
    <w:rsid w:val="00C10C63"/>
    <w:rsid w:val="00C85115"/>
    <w:rsid w:val="00CB2FE8"/>
    <w:rsid w:val="00CF3132"/>
    <w:rsid w:val="00D35FE3"/>
    <w:rsid w:val="00EA7952"/>
    <w:rsid w:val="00EB23F4"/>
    <w:rsid w:val="00F163B8"/>
    <w:rsid w:val="00FA1F9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BalloonText">
    <w:name w:val="Balloon Text"/>
    <w:basedOn w:val="Normal"/>
    <w:link w:val="BalloonTextChar"/>
    <w:uiPriority w:val="99"/>
    <w:semiHidden/>
    <w:rsid w:val="003D481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81A"/>
    <w:rPr>
      <w:rFonts w:ascii="Segoe UI" w:hAnsi="Segoe UI" w:cs="Segoe UI"/>
      <w:sz w:val="18"/>
      <w:szCs w:val="18"/>
    </w:rPr>
  </w:style>
  <w:style w:type="table" w:styleId="TableGrid">
    <w:name w:val="Table Grid"/>
    <w:basedOn w:val="TableNormal"/>
    <w:uiPriority w:val="59"/>
    <w:rsid w:val="004B32D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1012</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2021-05-25T12:02:00Z</dcterms:modified>
</cp:coreProperties>
</file>