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7469C" w14:textId="77777777" w:rsidR="003555AD" w:rsidRDefault="003555AD" w:rsidP="003555AD">
      <w:pPr>
        <w:pStyle w:val="Title"/>
        <w:rPr>
          <w:lang w:val="fr-LU"/>
        </w:rPr>
      </w:pPr>
      <w:r w:rsidRPr="003555AD">
        <w:rPr>
          <w:lang w:val="fr-LU"/>
        </w:rPr>
        <w:t>Terminologie</w:t>
      </w:r>
    </w:p>
    <w:p w14:paraId="781A70CB" w14:textId="4F27B46E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 xml:space="preserve">1. </w:t>
      </w:r>
      <w:r w:rsidRPr="003555AD">
        <w:rPr>
          <w:b/>
          <w:u w:val="single"/>
          <w:lang w:val="fr-LU"/>
        </w:rPr>
        <w:t>Activités commerciales et services de proximité</w:t>
      </w:r>
    </w:p>
    <w:p w14:paraId="6EAE2443" w14:textId="1D9F11DA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Les activités commerciales et les services de proximité correspondent à des</w:t>
      </w:r>
      <w:r>
        <w:rPr>
          <w:lang w:val="fr-LU"/>
        </w:rPr>
        <w:t xml:space="preserve"> </w:t>
      </w:r>
      <w:r w:rsidRPr="003555AD">
        <w:rPr>
          <w:lang w:val="fr-LU"/>
        </w:rPr>
        <w:t>établissements répondant aux besoins propres du quartier. Leur surface de vente est</w:t>
      </w:r>
      <w:r>
        <w:rPr>
          <w:lang w:val="fr-LU"/>
        </w:rPr>
        <w:t xml:space="preserve"> </w:t>
      </w:r>
      <w:r w:rsidRPr="003555AD">
        <w:rPr>
          <w:lang w:val="fr-LU"/>
        </w:rPr>
        <w:t>limitée à max. 400,00m</w:t>
      </w:r>
      <w:r w:rsidRPr="003555AD">
        <w:rPr>
          <w:vertAlign w:val="superscript"/>
          <w:lang w:val="fr-LU"/>
        </w:rPr>
        <w:t>2</w:t>
      </w:r>
      <w:r w:rsidRPr="003555AD">
        <w:rPr>
          <w:lang w:val="fr-LU"/>
        </w:rPr>
        <w:t>.</w:t>
      </w:r>
    </w:p>
    <w:p w14:paraId="047DAC29" w14:textId="00F0C205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Ne sont pas considéré comme répondant aux besoins propres du quartier, les</w:t>
      </w:r>
      <w:r>
        <w:rPr>
          <w:lang w:val="fr-LU"/>
        </w:rPr>
        <w:t xml:space="preserve"> </w:t>
      </w:r>
      <w:r w:rsidRPr="003555AD">
        <w:rPr>
          <w:lang w:val="fr-LU"/>
        </w:rPr>
        <w:t>activités telles que l’expertise comptable, les agences de voyages et autres activités</w:t>
      </w:r>
      <w:r>
        <w:rPr>
          <w:lang w:val="fr-LU"/>
        </w:rPr>
        <w:t xml:space="preserve"> </w:t>
      </w:r>
      <w:r w:rsidRPr="003555AD">
        <w:rPr>
          <w:lang w:val="fr-LU"/>
        </w:rPr>
        <w:t>semblables.</w:t>
      </w:r>
    </w:p>
    <w:p w14:paraId="6442562B" w14:textId="77777777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>2. Coefficient de scellement du sol [CSS]</w:t>
      </w:r>
    </w:p>
    <w:p w14:paraId="2AADDBD7" w14:textId="1416E167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On entend par coefficient de scellement du sol le rapport entre la surface de sol</w:t>
      </w:r>
      <w:r>
        <w:rPr>
          <w:lang w:val="fr-LU"/>
        </w:rPr>
        <w:t xml:space="preserve"> </w:t>
      </w:r>
      <w:r w:rsidRPr="003555AD">
        <w:rPr>
          <w:lang w:val="fr-LU"/>
        </w:rPr>
        <w:t>scellée et la surface du terrain à bâtir net.</w:t>
      </w:r>
    </w:p>
    <w:p w14:paraId="6AD79E52" w14:textId="77777777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>3. Coefficient d’occupation du sol [COS]</w:t>
      </w:r>
    </w:p>
    <w:p w14:paraId="6E2A592C" w14:textId="6DDDA045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On entend par coefficient d’occupation du sol le rapport entre la surface d’emprise au</w:t>
      </w:r>
      <w:r>
        <w:rPr>
          <w:lang w:val="fr-LU"/>
        </w:rPr>
        <w:t xml:space="preserve"> </w:t>
      </w:r>
      <w:r w:rsidRPr="003555AD">
        <w:rPr>
          <w:lang w:val="fr-LU"/>
        </w:rPr>
        <w:t>sol de la ou des constructions (au niveau du terrain naturel) et la surface du terrain à</w:t>
      </w:r>
      <w:r>
        <w:rPr>
          <w:lang w:val="fr-LU"/>
        </w:rPr>
        <w:t xml:space="preserve"> </w:t>
      </w:r>
      <w:r w:rsidRPr="003555AD">
        <w:rPr>
          <w:lang w:val="fr-LU"/>
        </w:rPr>
        <w:t>bâtir net.</w:t>
      </w:r>
    </w:p>
    <w:p w14:paraId="69ABEA1D" w14:textId="77777777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>4. Coefficient d’utilisation du sol [CUS]</w:t>
      </w:r>
    </w:p>
    <w:p w14:paraId="4BBA5902" w14:textId="31D6E502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On entend par coefficient d’utilisation du sol le rapport entre la somme des surfaces</w:t>
      </w:r>
      <w:r>
        <w:rPr>
          <w:lang w:val="fr-LU"/>
        </w:rPr>
        <w:t xml:space="preserve"> </w:t>
      </w:r>
      <w:r w:rsidRPr="003555AD">
        <w:rPr>
          <w:lang w:val="fr-LU"/>
        </w:rPr>
        <w:t>construites brutes de tous les niveaux et la surface totale du terrain à bâtir brut, pour</w:t>
      </w:r>
      <w:r>
        <w:rPr>
          <w:lang w:val="fr-LU"/>
        </w:rPr>
        <w:t xml:space="preserve"> </w:t>
      </w:r>
      <w:r w:rsidRPr="003555AD">
        <w:rPr>
          <w:lang w:val="fr-LU"/>
        </w:rPr>
        <w:t>autant que la hauteur d’étage moyenne ne dépasse pas 5 mètres.</w:t>
      </w:r>
    </w:p>
    <w:p w14:paraId="40676F0E" w14:textId="569BD08A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Pour tous les niveaux dont la hauteur moyenne d’étage est comprise entre 5 mètres et</w:t>
      </w:r>
      <w:r>
        <w:rPr>
          <w:lang w:val="fr-LU"/>
        </w:rPr>
        <w:t xml:space="preserve"> </w:t>
      </w:r>
      <w:r w:rsidRPr="003555AD">
        <w:rPr>
          <w:lang w:val="fr-LU"/>
        </w:rPr>
        <w:t>10 mètres, la surface construite brute est multipliée par 2. Pour tous les niveaux dont</w:t>
      </w:r>
      <w:r>
        <w:rPr>
          <w:lang w:val="fr-LU"/>
        </w:rPr>
        <w:t xml:space="preserve"> </w:t>
      </w:r>
      <w:r w:rsidRPr="003555AD">
        <w:rPr>
          <w:lang w:val="fr-LU"/>
        </w:rPr>
        <w:t>la hauteur d’étage moyenne dépasse 10 mètres, la surface construite brute est</w:t>
      </w:r>
      <w:r>
        <w:rPr>
          <w:lang w:val="fr-LU"/>
        </w:rPr>
        <w:t xml:space="preserve"> </w:t>
      </w:r>
      <w:r w:rsidRPr="003555AD">
        <w:rPr>
          <w:lang w:val="fr-LU"/>
        </w:rPr>
        <w:t>multipliée par 3.</w:t>
      </w:r>
    </w:p>
    <w:p w14:paraId="5B1C4207" w14:textId="77777777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>5. Densité de logement [DL]</w:t>
      </w:r>
    </w:p>
    <w:p w14:paraId="252CEAA5" w14:textId="2E212DE2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On entend par densité de logement le rapport entre le nombre d’unités de logement et</w:t>
      </w:r>
      <w:r>
        <w:rPr>
          <w:lang w:val="fr-LU"/>
        </w:rPr>
        <w:t xml:space="preserve"> </w:t>
      </w:r>
      <w:r w:rsidRPr="003555AD">
        <w:rPr>
          <w:lang w:val="fr-LU"/>
        </w:rPr>
        <w:t>le terrain à bâtir brut, exprimé en hectares.</w:t>
      </w:r>
    </w:p>
    <w:p w14:paraId="77BBD2D0" w14:textId="6478FE0E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Les logements intégrés, au sens de l’annexe II du règlement grand-ducal du 8 mars 2017</w:t>
      </w:r>
      <w:r>
        <w:rPr>
          <w:lang w:val="fr-LU"/>
        </w:rPr>
        <w:t xml:space="preserve"> </w:t>
      </w:r>
      <w:r w:rsidRPr="003555AD">
        <w:rPr>
          <w:lang w:val="fr-LU"/>
        </w:rPr>
        <w:t>concernant le contenu du plan d’aménagement particulier « quartier existant » et du</w:t>
      </w:r>
      <w:r>
        <w:rPr>
          <w:lang w:val="fr-LU"/>
        </w:rPr>
        <w:t xml:space="preserve"> </w:t>
      </w:r>
      <w:r w:rsidRPr="003555AD">
        <w:rPr>
          <w:lang w:val="fr-LU"/>
        </w:rPr>
        <w:t>plan d’aménagement particulier « nouveau quartier » portant exécution du plan</w:t>
      </w:r>
      <w:r>
        <w:rPr>
          <w:lang w:val="fr-LU"/>
        </w:rPr>
        <w:t xml:space="preserve"> </w:t>
      </w:r>
      <w:r w:rsidRPr="003555AD">
        <w:rPr>
          <w:lang w:val="fr-LU"/>
        </w:rPr>
        <w:t>d’aménagement général d’une commune ne sont pas pris en compte.</w:t>
      </w:r>
    </w:p>
    <w:p w14:paraId="712454C2" w14:textId="5FE8A9D0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 xml:space="preserve">6. </w:t>
      </w:r>
      <w:r w:rsidRPr="003555AD">
        <w:rPr>
          <w:b/>
          <w:u w:val="single"/>
          <w:lang w:val="fr-LU"/>
        </w:rPr>
        <w:t>Deux-roues légers</w:t>
      </w:r>
    </w:p>
    <w:p w14:paraId="23C5A365" w14:textId="04D31A39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On entend par deux-roues légers, au sens du présent règlement, des deux-roues non</w:t>
      </w:r>
      <w:r>
        <w:rPr>
          <w:lang w:val="fr-LU"/>
        </w:rPr>
        <w:t xml:space="preserve"> </w:t>
      </w:r>
      <w:r w:rsidRPr="003555AD">
        <w:rPr>
          <w:lang w:val="fr-LU"/>
        </w:rPr>
        <w:t>motorisés comme la bicyclette, le vélo tout terrain, la trottinette, ou équipés d'un</w:t>
      </w:r>
      <w:r>
        <w:rPr>
          <w:lang w:val="fr-LU"/>
        </w:rPr>
        <w:t xml:space="preserve"> </w:t>
      </w:r>
      <w:r w:rsidRPr="003555AD">
        <w:rPr>
          <w:lang w:val="fr-LU"/>
        </w:rPr>
        <w:t>moteur électrique auxiliaire comme le vélo ou la trottinette à assistance électrique.</w:t>
      </w:r>
    </w:p>
    <w:p w14:paraId="701A2A89" w14:textId="77777777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>7. Emprise au sol</w:t>
      </w:r>
    </w:p>
    <w:p w14:paraId="1BE8C7EE" w14:textId="251E73A9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lastRenderedPageBreak/>
        <w:t>On entend par emprise au sol la surface hors-</w:t>
      </w:r>
      <w:proofErr w:type="spellStart"/>
      <w:r w:rsidRPr="003555AD">
        <w:rPr>
          <w:lang w:val="fr-LU"/>
        </w:rPr>
        <w:t>oeuvre</w:t>
      </w:r>
      <w:proofErr w:type="spellEnd"/>
      <w:r w:rsidRPr="003555AD">
        <w:rPr>
          <w:lang w:val="fr-LU"/>
        </w:rPr>
        <w:t xml:space="preserve"> mesurée sur le plan du ou des</w:t>
      </w:r>
      <w:r>
        <w:rPr>
          <w:lang w:val="fr-LU"/>
        </w:rPr>
        <w:t xml:space="preserve"> </w:t>
      </w:r>
      <w:r w:rsidRPr="003555AD">
        <w:rPr>
          <w:lang w:val="fr-LU"/>
        </w:rPr>
        <w:t>parties de niveaux en contact direct avec le terrain naturel.</w:t>
      </w:r>
    </w:p>
    <w:p w14:paraId="0F70D69B" w14:textId="438337DB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Ne sont pas pris en compte pour le calcul de la surface d’emprise au sol les</w:t>
      </w:r>
      <w:r>
        <w:rPr>
          <w:lang w:val="fr-LU"/>
        </w:rPr>
        <w:t xml:space="preserve"> </w:t>
      </w:r>
      <w:r w:rsidRPr="003555AD">
        <w:rPr>
          <w:lang w:val="fr-LU"/>
        </w:rPr>
        <w:t>aménagements extérieurs en dur, notamment les rampes de garage, les chemins</w:t>
      </w:r>
      <w:r>
        <w:rPr>
          <w:lang w:val="fr-LU"/>
        </w:rPr>
        <w:t xml:space="preserve"> </w:t>
      </w:r>
      <w:r w:rsidRPr="003555AD">
        <w:rPr>
          <w:lang w:val="fr-LU"/>
        </w:rPr>
        <w:t>d’accès, les surfaces non closes au rez-de-chaussée, les terrasses non couvertes, les</w:t>
      </w:r>
      <w:r>
        <w:rPr>
          <w:lang w:val="fr-LU"/>
        </w:rPr>
        <w:t xml:space="preserve"> </w:t>
      </w:r>
      <w:r w:rsidRPr="003555AD">
        <w:rPr>
          <w:lang w:val="fr-LU"/>
        </w:rPr>
        <w:t>surfaces non closes aux étages, tels que les loggias, les balcons, les perrons et les</w:t>
      </w:r>
      <w:r>
        <w:rPr>
          <w:lang w:val="fr-LU"/>
        </w:rPr>
        <w:t xml:space="preserve"> </w:t>
      </w:r>
      <w:r w:rsidRPr="003555AD">
        <w:rPr>
          <w:lang w:val="fr-LU"/>
        </w:rPr>
        <w:t>seuils.</w:t>
      </w:r>
    </w:p>
    <w:p w14:paraId="76E5B586" w14:textId="77777777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>8. Surface construite brute</w:t>
      </w:r>
    </w:p>
    <w:p w14:paraId="57B4987A" w14:textId="2B7FF6B2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On entend par surface construite brute la surface hors-</w:t>
      </w:r>
      <w:proofErr w:type="spellStart"/>
      <w:r w:rsidRPr="003555AD">
        <w:rPr>
          <w:lang w:val="fr-LU"/>
        </w:rPr>
        <w:t>oeuvre</w:t>
      </w:r>
      <w:proofErr w:type="spellEnd"/>
      <w:r w:rsidRPr="003555AD">
        <w:rPr>
          <w:lang w:val="fr-LU"/>
        </w:rPr>
        <w:t xml:space="preserve"> obtenue d’une</w:t>
      </w:r>
      <w:r>
        <w:rPr>
          <w:lang w:val="fr-LU"/>
        </w:rPr>
        <w:t xml:space="preserve"> </w:t>
      </w:r>
      <w:r w:rsidRPr="003555AD">
        <w:rPr>
          <w:lang w:val="fr-LU"/>
        </w:rPr>
        <w:t>construction et des dépendances en additionnant la surface de tous les niveaux.</w:t>
      </w:r>
    </w:p>
    <w:p w14:paraId="52F912EA" w14:textId="77777777" w:rsid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Seul</w:t>
      </w:r>
      <w:r>
        <w:rPr>
          <w:lang w:val="fr-LU"/>
        </w:rPr>
        <w:t>es ne sont pas prises en compte:</w:t>
      </w:r>
    </w:p>
    <w:p w14:paraId="206527B5" w14:textId="63B103D9" w:rsidR="003555AD" w:rsidRDefault="003555AD" w:rsidP="003555AD">
      <w:pPr>
        <w:pStyle w:val="ListParagraph"/>
        <w:numPr>
          <w:ilvl w:val="0"/>
          <w:numId w:val="11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surfaces non aménageables en sous-sol ou partiellement en sous-sol;</w:t>
      </w:r>
    </w:p>
    <w:p w14:paraId="73C9DB2D" w14:textId="77777777" w:rsidR="003555AD" w:rsidRDefault="003555AD" w:rsidP="003555AD">
      <w:pPr>
        <w:pStyle w:val="ListParagraph"/>
        <w:numPr>
          <w:ilvl w:val="0"/>
          <w:numId w:val="11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surfaces non aménageables dans les combles;</w:t>
      </w:r>
    </w:p>
    <w:p w14:paraId="2E401BE6" w14:textId="7C54E351" w:rsidR="003555AD" w:rsidRPr="003555AD" w:rsidRDefault="003555AD" w:rsidP="003555AD">
      <w:pPr>
        <w:pStyle w:val="ListParagraph"/>
        <w:numPr>
          <w:ilvl w:val="0"/>
          <w:numId w:val="11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surfaces non closes, comme notamment les loggias, les balcons et les</w:t>
      </w:r>
      <w:r>
        <w:rPr>
          <w:lang w:val="fr-LU"/>
        </w:rPr>
        <w:t xml:space="preserve"> </w:t>
      </w:r>
      <w:r w:rsidRPr="003555AD">
        <w:rPr>
          <w:lang w:val="fr-LU"/>
        </w:rPr>
        <w:t>car-ports.</w:t>
      </w:r>
    </w:p>
    <w:p w14:paraId="6C7B178D" w14:textId="77777777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>9. Surface de vente</w:t>
      </w:r>
    </w:p>
    <w:p w14:paraId="63DF1E9D" w14:textId="07C1B8F7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La surface de vente correspond à la surface bâtie, mesurée à l'intérieur des murs</w:t>
      </w:r>
      <w:r>
        <w:rPr>
          <w:lang w:val="fr-LU"/>
        </w:rPr>
        <w:t xml:space="preserve"> </w:t>
      </w:r>
      <w:r w:rsidRPr="003555AD">
        <w:rPr>
          <w:lang w:val="fr-LU"/>
        </w:rPr>
        <w:t>extérieurs, consacrée à la circulation des clients lors de leurs achats et du paiement, à</w:t>
      </w:r>
      <w:r>
        <w:rPr>
          <w:lang w:val="fr-LU"/>
        </w:rPr>
        <w:t xml:space="preserve"> </w:t>
      </w:r>
      <w:r w:rsidRPr="003555AD">
        <w:rPr>
          <w:lang w:val="fr-LU"/>
        </w:rPr>
        <w:t>l’exposition des produits à la vente et des espaces de circulation du personnel</w:t>
      </w:r>
      <w:r>
        <w:rPr>
          <w:lang w:val="fr-LU"/>
        </w:rPr>
        <w:t xml:space="preserve"> </w:t>
      </w:r>
      <w:r w:rsidRPr="003555AD">
        <w:rPr>
          <w:lang w:val="fr-LU"/>
        </w:rPr>
        <w:t>préposé à la vente.</w:t>
      </w:r>
    </w:p>
    <w:p w14:paraId="7D6FFE0F" w14:textId="77777777" w:rsid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Ne sont pas compris dans la surface de vente,</w:t>
      </w:r>
    </w:p>
    <w:p w14:paraId="4B5B2A92" w14:textId="037D0F17" w:rsidR="003555AD" w:rsidRDefault="003555AD" w:rsidP="003555A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surfaces réservées aux installations sanitaires, aux bureaux, aux ateliers</w:t>
      </w:r>
      <w:r w:rsidRPr="003555AD">
        <w:rPr>
          <w:lang w:val="fr-LU"/>
        </w:rPr>
        <w:t xml:space="preserve"> </w:t>
      </w:r>
      <w:r w:rsidRPr="003555AD">
        <w:rPr>
          <w:lang w:val="fr-LU"/>
        </w:rPr>
        <w:t>de production et aux réserves pour autant qu'ils soient séparés à l’aide d’un</w:t>
      </w:r>
      <w:r w:rsidRPr="003555AD">
        <w:rPr>
          <w:lang w:val="fr-LU"/>
        </w:rPr>
        <w:t xml:space="preserve"> </w:t>
      </w:r>
      <w:r w:rsidRPr="003555AD">
        <w:rPr>
          <w:lang w:val="fr-LU"/>
        </w:rPr>
        <w:t>cloisonnement en dur;</w:t>
      </w:r>
    </w:p>
    <w:p w14:paraId="756EB1AD" w14:textId="77777777" w:rsidR="003555AD" w:rsidRDefault="003555AD" w:rsidP="003555A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réserves et les ateliers de production pour autant qu'ils ne soient pas</w:t>
      </w:r>
      <w:r w:rsidRPr="003555AD">
        <w:rPr>
          <w:lang w:val="fr-LU"/>
        </w:rPr>
        <w:t xml:space="preserve"> </w:t>
      </w:r>
      <w:r w:rsidRPr="003555AD">
        <w:rPr>
          <w:lang w:val="fr-LU"/>
        </w:rPr>
        <w:t>accessibles au public;</w:t>
      </w:r>
    </w:p>
    <w:p w14:paraId="15B2FD4C" w14:textId="77777777" w:rsidR="003555AD" w:rsidRDefault="003555AD" w:rsidP="003555A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galeries marchandes d'un centre commercial pour autant qu'aucun</w:t>
      </w:r>
      <w:r w:rsidRPr="003555AD">
        <w:rPr>
          <w:lang w:val="fr-LU"/>
        </w:rPr>
        <w:t xml:space="preserve"> </w:t>
      </w:r>
      <w:r w:rsidRPr="003555AD">
        <w:rPr>
          <w:lang w:val="fr-LU"/>
        </w:rPr>
        <w:t>commerce de détail n'y soit exercé;</w:t>
      </w:r>
    </w:p>
    <w:p w14:paraId="6DF85E08" w14:textId="77777777" w:rsidR="003555AD" w:rsidRDefault="003555AD" w:rsidP="003555A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établissements d'hébergement, les établissements de restauration, les</w:t>
      </w:r>
      <w:r w:rsidRPr="003555AD">
        <w:rPr>
          <w:lang w:val="fr-LU"/>
        </w:rPr>
        <w:t xml:space="preserve"> </w:t>
      </w:r>
      <w:r w:rsidRPr="003555AD">
        <w:rPr>
          <w:lang w:val="fr-LU"/>
        </w:rPr>
        <w:t>débits de boissons</w:t>
      </w:r>
      <w:r>
        <w:rPr>
          <w:lang w:val="fr-LU"/>
        </w:rPr>
        <w:t xml:space="preserve"> alcoolisées et non alcoolisées</w:t>
      </w:r>
      <w:r w:rsidRPr="003555AD">
        <w:rPr>
          <w:lang w:val="fr-LU"/>
        </w:rPr>
        <w:t>;</w:t>
      </w:r>
    </w:p>
    <w:p w14:paraId="1FB4DD64" w14:textId="77777777" w:rsidR="003555AD" w:rsidRDefault="003555AD" w:rsidP="003555A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sall</w:t>
      </w:r>
      <w:r w:rsidRPr="003555AD">
        <w:rPr>
          <w:lang w:val="fr-LU"/>
        </w:rPr>
        <w:t>es d'exposition des garagistes</w:t>
      </w:r>
      <w:r w:rsidRPr="003555AD">
        <w:rPr>
          <w:lang w:val="fr-LU"/>
        </w:rPr>
        <w:t>;</w:t>
      </w:r>
    </w:p>
    <w:p w14:paraId="40510AF2" w14:textId="77777777" w:rsidR="003555AD" w:rsidRDefault="003555AD" w:rsidP="003555A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agences de voyage</w:t>
      </w:r>
      <w:r w:rsidRPr="003555AD">
        <w:rPr>
          <w:lang w:val="fr-LU"/>
        </w:rPr>
        <w:t>;</w:t>
      </w:r>
    </w:p>
    <w:p w14:paraId="4A708D08" w14:textId="77777777" w:rsidR="003555AD" w:rsidRDefault="003555AD" w:rsidP="003555A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agences de banqu</w:t>
      </w:r>
      <w:r w:rsidRPr="003555AD">
        <w:rPr>
          <w:lang w:val="fr-LU"/>
        </w:rPr>
        <w:t>e</w:t>
      </w:r>
      <w:r w:rsidRPr="003555AD">
        <w:rPr>
          <w:lang w:val="fr-LU"/>
        </w:rPr>
        <w:t>;</w:t>
      </w:r>
    </w:p>
    <w:p w14:paraId="6AE7B1A8" w14:textId="77777777" w:rsidR="003555AD" w:rsidRDefault="003555AD" w:rsidP="003555A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agences de publicité</w:t>
      </w:r>
      <w:r w:rsidRPr="003555AD">
        <w:rPr>
          <w:lang w:val="fr-LU"/>
        </w:rPr>
        <w:t>;</w:t>
      </w:r>
    </w:p>
    <w:p w14:paraId="224E14BB" w14:textId="77777777" w:rsidR="003555AD" w:rsidRDefault="003555AD" w:rsidP="003555A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centres de remise en forme</w:t>
      </w:r>
      <w:r w:rsidRPr="003555AD">
        <w:rPr>
          <w:lang w:val="fr-LU"/>
        </w:rPr>
        <w:t>;</w:t>
      </w:r>
    </w:p>
    <w:p w14:paraId="187C6D93" w14:textId="77777777" w:rsidR="003555AD" w:rsidRDefault="003555AD" w:rsidP="003555A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salons de beauté</w:t>
      </w:r>
      <w:r w:rsidRPr="003555AD">
        <w:rPr>
          <w:lang w:val="fr-LU"/>
        </w:rPr>
        <w:t>;</w:t>
      </w:r>
    </w:p>
    <w:p w14:paraId="0E2BEA08" w14:textId="3537EEB9" w:rsidR="003555AD" w:rsidRDefault="003555AD" w:rsidP="003555A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3555AD">
        <w:rPr>
          <w:lang w:val="fr-LU"/>
        </w:rPr>
        <w:lastRenderedPageBreak/>
        <w:t>les</w:t>
      </w:r>
      <w:proofErr w:type="gramEnd"/>
      <w:r w:rsidRPr="003555AD">
        <w:rPr>
          <w:lang w:val="fr-LU"/>
        </w:rPr>
        <w:t xml:space="preserve"> salons de coiffure;</w:t>
      </w:r>
    </w:p>
    <w:p w14:paraId="02545B81" w14:textId="7947092D" w:rsidR="003555AD" w:rsidRDefault="003555AD" w:rsidP="003555A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opticiens;</w:t>
      </w:r>
    </w:p>
    <w:p w14:paraId="5E16510C" w14:textId="55CBB10E" w:rsidR="003555AD" w:rsidRPr="003555AD" w:rsidRDefault="003555AD" w:rsidP="003555A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salons de consommation.</w:t>
      </w:r>
    </w:p>
    <w:p w14:paraId="19302E2D" w14:textId="77777777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 xml:space="preserve">10. Surface hors- </w:t>
      </w:r>
      <w:proofErr w:type="spellStart"/>
      <w:r w:rsidRPr="003555AD">
        <w:rPr>
          <w:b/>
          <w:u w:val="single"/>
          <w:lang w:val="fr-LU"/>
        </w:rPr>
        <w:t>oeuvre</w:t>
      </w:r>
      <w:proofErr w:type="spellEnd"/>
    </w:p>
    <w:p w14:paraId="7FD22F8D" w14:textId="239CEA47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Est à considérer comme surface hors-</w:t>
      </w:r>
      <w:proofErr w:type="spellStart"/>
      <w:r w:rsidRPr="003555AD">
        <w:rPr>
          <w:lang w:val="fr-LU"/>
        </w:rPr>
        <w:t>oeuvre</w:t>
      </w:r>
      <w:proofErr w:type="spellEnd"/>
      <w:r w:rsidRPr="003555AD">
        <w:rPr>
          <w:lang w:val="fr-LU"/>
        </w:rPr>
        <w:t>, la surface de plancher mesurée au nu</w:t>
      </w:r>
      <w:r>
        <w:rPr>
          <w:lang w:val="fr-LU"/>
        </w:rPr>
        <w:t xml:space="preserve"> </w:t>
      </w:r>
      <w:r w:rsidRPr="003555AD">
        <w:rPr>
          <w:lang w:val="fr-LU"/>
        </w:rPr>
        <w:t>extérieur des murs de pourtour, l’isolation thermique et le parachèvement compris.</w:t>
      </w:r>
    </w:p>
    <w:p w14:paraId="63CB8FD4" w14:textId="0733CBB3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Sont à exclure du calcul les constructions ne formant pas de plancher, dont les</w:t>
      </w:r>
      <w:r>
        <w:rPr>
          <w:lang w:val="fr-LU"/>
        </w:rPr>
        <w:t xml:space="preserve"> </w:t>
      </w:r>
      <w:r w:rsidRPr="003555AD">
        <w:rPr>
          <w:lang w:val="fr-LU"/>
        </w:rPr>
        <w:t>pylônes, canalisations, ouvrages de stockage tels que les citernes et les silos ainsi</w:t>
      </w:r>
      <w:r>
        <w:rPr>
          <w:lang w:val="fr-LU"/>
        </w:rPr>
        <w:t xml:space="preserve"> </w:t>
      </w:r>
      <w:r w:rsidRPr="003555AD">
        <w:rPr>
          <w:lang w:val="fr-LU"/>
        </w:rPr>
        <w:t>que les auvents. Sont également à exclure, les modénatures tels que les acrotères,</w:t>
      </w:r>
      <w:r>
        <w:rPr>
          <w:lang w:val="fr-LU"/>
        </w:rPr>
        <w:t xml:space="preserve"> </w:t>
      </w:r>
      <w:r w:rsidRPr="003555AD">
        <w:rPr>
          <w:lang w:val="fr-LU"/>
        </w:rPr>
        <w:t>bandeaux, corniches ou marquises ainsi que les rampes et les escaliers extérieurs.</w:t>
      </w:r>
    </w:p>
    <w:p w14:paraId="71D806B7" w14:textId="318724EA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En cas d’assainissement énergétique, la couche isolante supplémentaire de même que</w:t>
      </w:r>
      <w:r>
        <w:rPr>
          <w:lang w:val="fr-LU"/>
        </w:rPr>
        <w:t xml:space="preserve"> </w:t>
      </w:r>
      <w:r w:rsidRPr="003555AD">
        <w:rPr>
          <w:lang w:val="fr-LU"/>
        </w:rPr>
        <w:t>le nouveau parachèvement extérieur ne seront pas pris en compte.</w:t>
      </w:r>
    </w:p>
    <w:p w14:paraId="078687BB" w14:textId="77777777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>11. Surface non aménageable</w:t>
      </w:r>
    </w:p>
    <w:p w14:paraId="76B74CAD" w14:textId="2DECABF6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Une surface est considérée comme non aménageable, si un des critères suivants est</w:t>
      </w:r>
      <w:r>
        <w:rPr>
          <w:lang w:val="fr-LU"/>
        </w:rPr>
        <w:t xml:space="preserve"> rempli</w:t>
      </w:r>
      <w:r w:rsidRPr="003555AD">
        <w:rPr>
          <w:lang w:val="fr-LU"/>
        </w:rPr>
        <w:t>:</w:t>
      </w:r>
    </w:p>
    <w:p w14:paraId="7105897F" w14:textId="77777777" w:rsidR="003555AD" w:rsidRPr="003555AD" w:rsidRDefault="003555AD" w:rsidP="003555AD">
      <w:pPr>
        <w:ind w:left="720"/>
        <w:rPr>
          <w:u w:val="single"/>
          <w:lang w:val="fr-LU"/>
        </w:rPr>
      </w:pPr>
      <w:r w:rsidRPr="003555AD">
        <w:rPr>
          <w:u w:val="single"/>
          <w:lang w:val="fr-LU"/>
        </w:rPr>
        <w:t>11.1 Hauteur des locaux</w:t>
      </w:r>
    </w:p>
    <w:p w14:paraId="40B81C5F" w14:textId="674EF390" w:rsidR="003555AD" w:rsidRPr="003555AD" w:rsidRDefault="003555AD" w:rsidP="003555AD">
      <w:pPr>
        <w:pStyle w:val="ListParagraph"/>
        <w:numPr>
          <w:ilvl w:val="0"/>
          <w:numId w:val="14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espaces, dont la hauteur sous plafond est inférieure à max. 1,80m, sont</w:t>
      </w:r>
      <w:r w:rsidRPr="003555AD">
        <w:rPr>
          <w:lang w:val="fr-LU"/>
        </w:rPr>
        <w:t xml:space="preserve"> </w:t>
      </w:r>
      <w:r w:rsidRPr="003555AD">
        <w:rPr>
          <w:lang w:val="fr-LU"/>
        </w:rPr>
        <w:t xml:space="preserve">considérées </w:t>
      </w:r>
      <w:r>
        <w:rPr>
          <w:lang w:val="fr-LU"/>
        </w:rPr>
        <w:t>comme surfaces non aménageables</w:t>
      </w:r>
      <w:r w:rsidRPr="003555AD">
        <w:rPr>
          <w:lang w:val="fr-LU"/>
        </w:rPr>
        <w:t>;</w:t>
      </w:r>
    </w:p>
    <w:p w14:paraId="31A5D73D" w14:textId="77777777" w:rsidR="003555AD" w:rsidRDefault="003555AD" w:rsidP="003555AD">
      <w:pPr>
        <w:ind w:left="720"/>
        <w:rPr>
          <w:u w:val="single"/>
          <w:lang w:val="fr-LU"/>
        </w:rPr>
      </w:pPr>
      <w:r w:rsidRPr="003555AD">
        <w:rPr>
          <w:u w:val="single"/>
          <w:lang w:val="fr-LU"/>
        </w:rPr>
        <w:t>11.2 Affectation des locaux</w:t>
      </w:r>
    </w:p>
    <w:p w14:paraId="21FACD24" w14:textId="77777777" w:rsidR="003555AD" w:rsidRDefault="003555AD" w:rsidP="003555AD">
      <w:pPr>
        <w:pStyle w:val="ListParagraph"/>
        <w:numPr>
          <w:ilvl w:val="0"/>
          <w:numId w:val="14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locaux techniques exclusivement affectés au fonctionnement technique de</w:t>
      </w:r>
      <w:r>
        <w:rPr>
          <w:lang w:val="fr-LU"/>
        </w:rPr>
        <w:t xml:space="preserve"> </w:t>
      </w:r>
      <w:r w:rsidRPr="003555AD">
        <w:rPr>
          <w:lang w:val="fr-LU"/>
        </w:rPr>
        <w:t>d’une construction, sont à considérer comme surfaces non aménageables;</w:t>
      </w:r>
    </w:p>
    <w:p w14:paraId="676551C9" w14:textId="186F8F19" w:rsidR="003555AD" w:rsidRPr="003555AD" w:rsidRDefault="003555AD" w:rsidP="00575DDA">
      <w:pPr>
        <w:pStyle w:val="ListParagraph"/>
        <w:numPr>
          <w:ilvl w:val="0"/>
          <w:numId w:val="14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espaces de circulation, dont les garages, les cages d’escalier, les cages</w:t>
      </w:r>
      <w:r w:rsidRPr="003555AD">
        <w:rPr>
          <w:lang w:val="fr-LU"/>
        </w:rPr>
        <w:t xml:space="preserve"> </w:t>
      </w:r>
      <w:r w:rsidRPr="003555AD">
        <w:rPr>
          <w:lang w:val="fr-LU"/>
        </w:rPr>
        <w:t>d’ascenseur, les dépôts ainsi que les caves individuelles des constructions</w:t>
      </w:r>
      <w:r w:rsidRPr="003555AD">
        <w:rPr>
          <w:lang w:val="fr-LU"/>
        </w:rPr>
        <w:t xml:space="preserve"> </w:t>
      </w:r>
      <w:r w:rsidRPr="003555AD">
        <w:rPr>
          <w:lang w:val="fr-LU"/>
        </w:rPr>
        <w:t xml:space="preserve">collectives ne comportant pas d’ouverture sur l’extérieur, sont à </w:t>
      </w:r>
      <w:proofErr w:type="spellStart"/>
      <w:r w:rsidRPr="003555AD">
        <w:rPr>
          <w:lang w:val="fr-LU"/>
        </w:rPr>
        <w:t>considerer</w:t>
      </w:r>
      <w:proofErr w:type="spellEnd"/>
      <w:r>
        <w:rPr>
          <w:lang w:val="fr-LU"/>
        </w:rPr>
        <w:t xml:space="preserve"> comme surfaces non aménageables</w:t>
      </w:r>
      <w:r w:rsidRPr="003555AD">
        <w:rPr>
          <w:lang w:val="fr-LU"/>
        </w:rPr>
        <w:t>;</w:t>
      </w:r>
    </w:p>
    <w:p w14:paraId="3222365D" w14:textId="77777777" w:rsidR="003555AD" w:rsidRDefault="003555AD" w:rsidP="003555AD">
      <w:pPr>
        <w:ind w:left="720"/>
        <w:rPr>
          <w:u w:val="single"/>
          <w:lang w:val="fr-LU"/>
        </w:rPr>
      </w:pPr>
      <w:r w:rsidRPr="003555AD">
        <w:rPr>
          <w:u w:val="single"/>
          <w:lang w:val="fr-LU"/>
        </w:rPr>
        <w:t>11.3 Solidité et géométrie des locaux</w:t>
      </w:r>
    </w:p>
    <w:p w14:paraId="3627DD4B" w14:textId="77777777" w:rsidR="003555AD" w:rsidRDefault="003555AD" w:rsidP="003555AD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locaux dont les planchers ne peuvent supporter des charges supérieures</w:t>
      </w:r>
      <w:r>
        <w:rPr>
          <w:lang w:val="fr-LU"/>
        </w:rPr>
        <w:t xml:space="preserve"> </w:t>
      </w:r>
      <w:r w:rsidRPr="003555AD">
        <w:rPr>
          <w:lang w:val="fr-LU"/>
        </w:rPr>
        <w:t>à 1,5kN/m</w:t>
      </w:r>
      <w:r w:rsidRPr="003555AD">
        <w:rPr>
          <w:vertAlign w:val="superscript"/>
          <w:lang w:val="fr-LU"/>
        </w:rPr>
        <w:t>2</w:t>
      </w:r>
      <w:r w:rsidRPr="003555AD">
        <w:rPr>
          <w:lang w:val="fr-LU"/>
        </w:rPr>
        <w:t xml:space="preserve"> ou</w:t>
      </w:r>
    </w:p>
    <w:p w14:paraId="2F0F1D71" w14:textId="06107080" w:rsidR="003555AD" w:rsidRPr="003555AD" w:rsidRDefault="003555AD" w:rsidP="003555AD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3555AD">
        <w:rPr>
          <w:lang w:val="fr-LU"/>
        </w:rPr>
        <w:t>les</w:t>
      </w:r>
      <w:proofErr w:type="gramEnd"/>
      <w:r w:rsidRPr="003555AD">
        <w:rPr>
          <w:lang w:val="fr-LU"/>
        </w:rPr>
        <w:t xml:space="preserve"> locaux dont l’encombrement de la charpente ou d’autres installations</w:t>
      </w:r>
      <w:r>
        <w:rPr>
          <w:lang w:val="fr-LU"/>
        </w:rPr>
        <w:t xml:space="preserve"> </w:t>
      </w:r>
      <w:r w:rsidRPr="003555AD">
        <w:rPr>
          <w:lang w:val="fr-LU"/>
        </w:rPr>
        <w:t>empêche l’utilisation,</w:t>
      </w:r>
    </w:p>
    <w:p w14:paraId="71E947D9" w14:textId="77777777" w:rsidR="003555AD" w:rsidRPr="003555AD" w:rsidRDefault="003555AD" w:rsidP="003555AD">
      <w:pPr>
        <w:ind w:left="1800"/>
        <w:rPr>
          <w:lang w:val="fr-LU"/>
        </w:rPr>
      </w:pPr>
      <w:proofErr w:type="gramStart"/>
      <w:r w:rsidRPr="003555AD">
        <w:rPr>
          <w:lang w:val="fr-LU"/>
        </w:rPr>
        <w:t>sont</w:t>
      </w:r>
      <w:proofErr w:type="gramEnd"/>
      <w:r w:rsidRPr="003555AD">
        <w:rPr>
          <w:lang w:val="fr-LU"/>
        </w:rPr>
        <w:t xml:space="preserve"> à considérer comme surfaces non aménageables.</w:t>
      </w:r>
    </w:p>
    <w:p w14:paraId="1D763AD5" w14:textId="77777777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Ces critères ne sont pas cumulatifs.</w:t>
      </w:r>
    </w:p>
    <w:p w14:paraId="5BBBBF8A" w14:textId="77777777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>12. Surface scellée</w:t>
      </w:r>
    </w:p>
    <w:p w14:paraId="51F12F9E" w14:textId="2FB1B407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lastRenderedPageBreak/>
        <w:t>Est considérée comme surface scellée toute surface dont l’aménagement ne permet</w:t>
      </w:r>
      <w:r>
        <w:rPr>
          <w:lang w:val="fr-LU"/>
        </w:rPr>
        <w:t xml:space="preserve"> </w:t>
      </w:r>
      <w:r w:rsidRPr="003555AD">
        <w:rPr>
          <w:lang w:val="fr-LU"/>
        </w:rPr>
        <w:t>pas l’infiltration des eaux pluviales ainsi que toute surface surplombée par une</w:t>
      </w:r>
      <w:r>
        <w:rPr>
          <w:lang w:val="fr-LU"/>
        </w:rPr>
        <w:t xml:space="preserve"> </w:t>
      </w:r>
      <w:r w:rsidRPr="003555AD">
        <w:rPr>
          <w:lang w:val="fr-LU"/>
        </w:rPr>
        <w:t>construction.</w:t>
      </w:r>
    </w:p>
    <w:p w14:paraId="4469A94D" w14:textId="307D414E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Concernant les surfaces scellées par des constructions souterraines et couvertes de</w:t>
      </w:r>
      <w:r>
        <w:rPr>
          <w:lang w:val="fr-LU"/>
        </w:rPr>
        <w:t xml:space="preserve"> </w:t>
      </w:r>
      <w:r w:rsidRPr="003555AD">
        <w:rPr>
          <w:lang w:val="fr-LU"/>
        </w:rPr>
        <w:t>terre végétale, la surface de sol scellée à prendre en compte est réduite par tranche</w:t>
      </w:r>
      <w:r>
        <w:rPr>
          <w:lang w:val="fr-LU"/>
        </w:rPr>
        <w:t xml:space="preserve"> </w:t>
      </w:r>
      <w:r w:rsidRPr="003555AD">
        <w:rPr>
          <w:lang w:val="fr-LU"/>
        </w:rPr>
        <w:t>de 15% pour 15cm d’épaisseur de couverture de terre végétale, jusqu’à concurrence</w:t>
      </w:r>
      <w:r>
        <w:rPr>
          <w:lang w:val="fr-LU"/>
        </w:rPr>
        <w:t xml:space="preserve"> </w:t>
      </w:r>
      <w:r w:rsidRPr="003555AD">
        <w:rPr>
          <w:lang w:val="fr-LU"/>
        </w:rPr>
        <w:t>de 75%.</w:t>
      </w:r>
    </w:p>
    <w:p w14:paraId="5EB744CA" w14:textId="1FE33123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Concernant les toitures végétales, la surface scellée à prendre en compte est réduite</w:t>
      </w:r>
      <w:r>
        <w:rPr>
          <w:lang w:val="fr-LU"/>
        </w:rPr>
        <w:t xml:space="preserve"> </w:t>
      </w:r>
      <w:r w:rsidRPr="003555AD">
        <w:rPr>
          <w:lang w:val="fr-LU"/>
        </w:rPr>
        <w:t>de 50%.</w:t>
      </w:r>
    </w:p>
    <w:p w14:paraId="37D6DADE" w14:textId="77777777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>13. Terrain à bâtir brut</w:t>
      </w:r>
    </w:p>
    <w:p w14:paraId="6C06AA79" w14:textId="702194CE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On entend par terrain à bâtir brut tous les fonds situés en zone urbanisée ou destinée</w:t>
      </w:r>
      <w:r>
        <w:rPr>
          <w:lang w:val="fr-LU"/>
        </w:rPr>
        <w:t xml:space="preserve"> </w:t>
      </w:r>
      <w:r w:rsidRPr="003555AD">
        <w:rPr>
          <w:lang w:val="fr-LU"/>
        </w:rPr>
        <w:t>à être urbanisée, non encore ou partiellement viabilisés.</w:t>
      </w:r>
    </w:p>
    <w:p w14:paraId="56C6D865" w14:textId="77777777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>14. Terrain à bâtir net</w:t>
      </w:r>
    </w:p>
    <w:p w14:paraId="3ADA5C59" w14:textId="143CC540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On entend par terrain à bâtir net tous les fonds situés en zone urbanisée ou destinée</w:t>
      </w:r>
      <w:r>
        <w:rPr>
          <w:lang w:val="fr-LU"/>
        </w:rPr>
        <w:t xml:space="preserve"> </w:t>
      </w:r>
      <w:r w:rsidRPr="003555AD">
        <w:rPr>
          <w:lang w:val="fr-LU"/>
        </w:rPr>
        <w:t>à être urbanisée déduction faite de toutes les surfaces privées et publiques</w:t>
      </w:r>
      <w:r>
        <w:rPr>
          <w:lang w:val="fr-LU"/>
        </w:rPr>
        <w:t xml:space="preserve"> </w:t>
      </w:r>
      <w:r w:rsidRPr="003555AD">
        <w:rPr>
          <w:lang w:val="fr-LU"/>
        </w:rPr>
        <w:t>nécessaires à sa viabilisation.</w:t>
      </w:r>
    </w:p>
    <w:p w14:paraId="66159EA4" w14:textId="77777777" w:rsidR="003555AD" w:rsidRPr="003555AD" w:rsidRDefault="003555AD" w:rsidP="003555AD">
      <w:pPr>
        <w:rPr>
          <w:b/>
          <w:u w:val="single"/>
          <w:lang w:val="fr-LU"/>
        </w:rPr>
      </w:pPr>
      <w:r w:rsidRPr="003555AD">
        <w:rPr>
          <w:b/>
          <w:u w:val="single"/>
          <w:lang w:val="fr-LU"/>
        </w:rPr>
        <w:t>15. Véhicules motorisés</w:t>
      </w:r>
    </w:p>
    <w:p w14:paraId="652479A6" w14:textId="1F6322E6" w:rsidR="003555AD" w:rsidRPr="003555AD" w:rsidRDefault="003555AD" w:rsidP="003555AD">
      <w:pPr>
        <w:ind w:left="720"/>
        <w:rPr>
          <w:lang w:val="fr-LU"/>
        </w:rPr>
      </w:pPr>
      <w:r w:rsidRPr="003555AD">
        <w:rPr>
          <w:lang w:val="fr-LU"/>
        </w:rPr>
        <w:t>On entend par véhicules motorisés, au sens du présent règlement, un engin à roues</w:t>
      </w:r>
      <w:r>
        <w:rPr>
          <w:lang w:val="fr-LU"/>
        </w:rPr>
        <w:t xml:space="preserve"> </w:t>
      </w:r>
      <w:r w:rsidRPr="003555AD">
        <w:rPr>
          <w:lang w:val="fr-LU"/>
        </w:rPr>
        <w:t>mu par un moteur et destiné au transport terrestre de personnes et de biens comme la</w:t>
      </w:r>
      <w:r>
        <w:rPr>
          <w:lang w:val="fr-LU"/>
        </w:rPr>
        <w:t xml:space="preserve"> </w:t>
      </w:r>
      <w:r w:rsidRPr="003555AD">
        <w:rPr>
          <w:lang w:val="fr-LU"/>
        </w:rPr>
        <w:t>voiture automobile et le véhicule utilitaire léger.</w:t>
      </w:r>
      <w:bookmarkStart w:id="0" w:name="_GoBack"/>
      <w:bookmarkEnd w:id="0"/>
    </w:p>
    <w:sectPr w:rsidR="003555AD" w:rsidRPr="003555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C729C"/>
    <w:multiLevelType w:val="hybridMultilevel"/>
    <w:tmpl w:val="206C1DE2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4599"/>
    <w:multiLevelType w:val="hybridMultilevel"/>
    <w:tmpl w:val="64CA22EE"/>
    <w:lvl w:ilvl="0" w:tplc="1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38571074"/>
    <w:multiLevelType w:val="hybridMultilevel"/>
    <w:tmpl w:val="DD8CBDAC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C17AE8"/>
    <w:multiLevelType w:val="hybridMultilevel"/>
    <w:tmpl w:val="23668B74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16146"/>
    <w:multiLevelType w:val="hybridMultilevel"/>
    <w:tmpl w:val="14903D3A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B5621"/>
    <w:multiLevelType w:val="hybridMultilevel"/>
    <w:tmpl w:val="110A2566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B5E3999"/>
    <w:multiLevelType w:val="hybridMultilevel"/>
    <w:tmpl w:val="8460DAFA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858AD"/>
    <w:multiLevelType w:val="hybridMultilevel"/>
    <w:tmpl w:val="4194414C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A29AA"/>
    <w:multiLevelType w:val="hybridMultilevel"/>
    <w:tmpl w:val="847C0F0C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13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555AD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1073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2021-05-25T11:50:00Z</dcterms:modified>
</cp:coreProperties>
</file>