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2DADA" w14:textId="4C8041A6" w:rsidR="0099583E" w:rsidRPr="0099583E" w:rsidRDefault="0099583E" w:rsidP="0099583E">
      <w:pPr>
        <w:pStyle w:val="Heading2"/>
        <w:rPr>
          <w:lang w:val="fr-FR"/>
        </w:rPr>
      </w:pPr>
      <w:r>
        <w:rPr>
          <w:lang w:val="fr-FR"/>
        </w:rPr>
        <w:t xml:space="preserve">Art. 21.4 </w:t>
      </w:r>
      <w:r w:rsidRPr="0099583E">
        <w:rPr>
          <w:lang w:val="fr-FR"/>
        </w:rPr>
        <w:t>Alignement d’une construction existante à préserver</w:t>
      </w:r>
    </w:p>
    <w:p w14:paraId="38FDEE07" w14:textId="57CC8CB1" w:rsidR="006605E2" w:rsidRPr="006605E2" w:rsidRDefault="0099583E" w:rsidP="0099583E">
      <w:pPr>
        <w:rPr>
          <w:lang w:val="fr-FR"/>
        </w:rPr>
      </w:pPr>
      <w:r w:rsidRPr="0099583E">
        <w:rPr>
          <w:lang w:val="fr-FR"/>
        </w:rPr>
        <w:t xml:space="preserve">On entend par </w:t>
      </w:r>
      <w:r>
        <w:rPr>
          <w:lang w:val="fr-FR"/>
        </w:rPr>
        <w:t>« </w:t>
      </w:r>
      <w:r w:rsidRPr="0099583E">
        <w:rPr>
          <w:lang w:val="fr-FR"/>
        </w:rPr>
        <w:t>alignement d’une construction existante à préserver</w:t>
      </w:r>
      <w:r>
        <w:rPr>
          <w:lang w:val="fr-FR"/>
        </w:rPr>
        <w:t> »</w:t>
      </w:r>
      <w:bookmarkStart w:id="0" w:name="_GoBack"/>
      <w:bookmarkEnd w:id="0"/>
      <w:r w:rsidRPr="0099583E">
        <w:rPr>
          <w:lang w:val="fr-FR"/>
        </w:rPr>
        <w:t xml:space="preserve"> la limite d’une construction existante sur le domaine public ou l’espace-rue, qui, de par son rôle urbanistique et architectural dans l’espace urbain existant, doit être restituée en cas de démolition ou préservée en cas de transformation ou de réhabilitation de la construction afférente.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9583E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2021-05-17T13:25:00Z</dcterms:modified>
</cp:coreProperties>
</file>