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FDEE07" w14:textId="6C5C4B46" w:rsidR="006605E2" w:rsidRDefault="00FD7964" w:rsidP="00FD7964">
      <w:pPr>
        <w:pStyle w:val="Heading1"/>
        <w:rPr>
          <w:lang w:val="fr-FR"/>
        </w:rPr>
      </w:pPr>
      <w:r w:rsidRPr="00FD7964">
        <w:rPr>
          <w:lang w:val="fr-FR"/>
        </w:rPr>
        <w:t xml:space="preserve">Art. </w:t>
      </w:r>
      <w:r w:rsidR="00E8175D">
        <w:rPr>
          <w:lang w:val="fr-FR"/>
        </w:rPr>
        <w:t>9</w:t>
      </w:r>
      <w:r w:rsidRPr="00FD7964">
        <w:rPr>
          <w:lang w:val="fr-FR"/>
        </w:rPr>
        <w:t xml:space="preserve"> Prescriptions concernant les quartiers existants situés dans les zones </w:t>
      </w:r>
      <w:r w:rsidR="00E8175D">
        <w:rPr>
          <w:lang w:val="fr-FR"/>
        </w:rPr>
        <w:t>spéciales 1</w:t>
      </w:r>
      <w:r w:rsidRPr="00FD7964">
        <w:rPr>
          <w:lang w:val="fr-FR"/>
        </w:rPr>
        <w:t xml:space="preserve"> [</w:t>
      </w:r>
      <w:r w:rsidR="00E8175D">
        <w:rPr>
          <w:lang w:val="fr-FR"/>
        </w:rPr>
        <w:t>SPEC-1</w:t>
      </w:r>
      <w:r w:rsidRPr="00FD7964">
        <w:rPr>
          <w:lang w:val="fr-FR"/>
        </w:rPr>
        <w:t>]</w:t>
      </w:r>
    </w:p>
    <w:p w14:paraId="672A4262" w14:textId="50E736DF" w:rsidR="00E8175D" w:rsidRPr="00E8175D" w:rsidRDefault="00E8175D" w:rsidP="00E8175D">
      <w:pPr>
        <w:pStyle w:val="Heading2"/>
        <w:rPr>
          <w:lang w:val="fr-FR"/>
        </w:rPr>
      </w:pPr>
      <w:r>
        <w:rPr>
          <w:lang w:val="fr-FR"/>
        </w:rPr>
        <w:t xml:space="preserve">Art. 9.1 </w:t>
      </w:r>
      <w:r w:rsidRPr="00E8175D">
        <w:rPr>
          <w:lang w:val="fr-FR"/>
        </w:rPr>
        <w:t>Disposition des constructions</w:t>
      </w:r>
    </w:p>
    <w:p w14:paraId="5B419951" w14:textId="5EA91244" w:rsidR="00E8175D" w:rsidRPr="00E8175D" w:rsidRDefault="00E8175D" w:rsidP="00E8175D">
      <w:pPr>
        <w:rPr>
          <w:lang w:val="fr-FR"/>
        </w:rPr>
      </w:pPr>
      <w:r w:rsidRPr="00E8175D">
        <w:rPr>
          <w:lang w:val="fr-FR"/>
        </w:rPr>
        <w:t>La disposition des constructions peut être en ord</w:t>
      </w:r>
      <w:r>
        <w:rPr>
          <w:lang w:val="fr-FR"/>
        </w:rPr>
        <w:t>re contigu ou non contigu.</w:t>
      </w:r>
    </w:p>
    <w:p w14:paraId="68EEF5AB" w14:textId="7466A33D" w:rsidR="00E8175D" w:rsidRPr="00E8175D" w:rsidRDefault="00E8175D" w:rsidP="00E8175D">
      <w:pPr>
        <w:rPr>
          <w:lang w:val="fr-FR"/>
        </w:rPr>
      </w:pPr>
      <w:r w:rsidRPr="00E8175D">
        <w:rPr>
          <w:lang w:val="fr-FR"/>
        </w:rPr>
        <w:t>Les constructions en ordre contigu doivent se trouver uniquement sur une même parcelle. La mitoyenneté entre plu</w:t>
      </w:r>
      <w:r>
        <w:rPr>
          <w:lang w:val="fr-FR"/>
        </w:rPr>
        <w:t>sieurs parcelles est interdite.</w:t>
      </w:r>
    </w:p>
    <w:p w14:paraId="4ACB9C92" w14:textId="77777777" w:rsidR="00E8175D" w:rsidRPr="00E8175D" w:rsidRDefault="00E8175D" w:rsidP="00E8175D">
      <w:pPr>
        <w:rPr>
          <w:lang w:val="fr-FR"/>
        </w:rPr>
      </w:pPr>
      <w:r w:rsidRPr="00E8175D">
        <w:rPr>
          <w:lang w:val="fr-FR"/>
        </w:rPr>
        <w:t>Seules les constructions souterraines peuvent être mitoyennes et ce uniquement sur un côté de la parcelle, si la demande d’autorisation de construire pour la construction souterraine sur la parcelle adjacente, est faite en parallèle à celle de la construction en question.</w:t>
      </w:r>
    </w:p>
    <w:p w14:paraId="1BF70913" w14:textId="3BA12154" w:rsidR="00346560" w:rsidRDefault="00E8175D" w:rsidP="00E8175D">
      <w:pPr>
        <w:pStyle w:val="Heading2"/>
        <w:rPr>
          <w:lang w:val="fr-FR"/>
        </w:rPr>
      </w:pPr>
      <w:r>
        <w:rPr>
          <w:lang w:val="fr-FR"/>
        </w:rPr>
        <w:t xml:space="preserve">Art. 9.2 </w:t>
      </w:r>
      <w:r w:rsidRPr="00E8175D">
        <w:rPr>
          <w:lang w:val="fr-FR"/>
        </w:rPr>
        <w:t>Reculs par rapport aux limites du terrain à bâtir net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28" w:type="dxa"/>
        </w:tblCellMar>
        <w:tblLook w:val="01E0" w:firstRow="1" w:lastRow="1" w:firstColumn="1" w:lastColumn="1" w:noHBand="0" w:noVBand="0"/>
      </w:tblPr>
      <w:tblGrid>
        <w:gridCol w:w="1195"/>
        <w:gridCol w:w="1413"/>
        <w:gridCol w:w="3261"/>
      </w:tblGrid>
      <w:tr w:rsidR="00E8175D" w:rsidRPr="00E8175D" w14:paraId="6CE9EE3B" w14:textId="77777777" w:rsidTr="00E8175D">
        <w:trPr>
          <w:trHeight w:hRule="exact" w:val="299"/>
          <w:jc w:val="center"/>
        </w:trPr>
        <w:tc>
          <w:tcPr>
            <w:tcW w:w="5869" w:type="dxa"/>
            <w:gridSpan w:val="3"/>
            <w:shd w:val="clear" w:color="auto" w:fill="D9D9D9" w:themeFill="background1" w:themeFillShade="D9"/>
            <w:vAlign w:val="center"/>
          </w:tcPr>
          <w:p w14:paraId="25313C7B" w14:textId="77777777" w:rsidR="00E8175D" w:rsidRPr="00E8175D" w:rsidRDefault="00E8175D" w:rsidP="00E8175D">
            <w:pPr>
              <w:pStyle w:val="NormalTableau"/>
              <w:jc w:val="center"/>
            </w:pPr>
            <w:r w:rsidRPr="00E8175D">
              <w:t>Recul minimal autorisé</w:t>
            </w:r>
          </w:p>
        </w:tc>
      </w:tr>
      <w:tr w:rsidR="00E8175D" w:rsidRPr="00E8175D" w14:paraId="50A97E94" w14:textId="77777777" w:rsidTr="00E8175D">
        <w:trPr>
          <w:jc w:val="center"/>
        </w:trPr>
        <w:tc>
          <w:tcPr>
            <w:tcW w:w="1195" w:type="dxa"/>
            <w:shd w:val="clear" w:color="auto" w:fill="E6E7E8"/>
            <w:tcMar>
              <w:top w:w="28" w:type="dxa"/>
              <w:left w:w="28" w:type="dxa"/>
              <w:bottom w:w="28" w:type="dxa"/>
              <w:right w:w="28" w:type="dxa"/>
            </w:tcMar>
            <w:vAlign w:val="center"/>
          </w:tcPr>
          <w:p w14:paraId="65654C6F" w14:textId="77777777" w:rsidR="00E8175D" w:rsidRPr="00E8175D" w:rsidRDefault="00E8175D" w:rsidP="00E8175D">
            <w:pPr>
              <w:pStyle w:val="NormalTableau"/>
              <w:jc w:val="left"/>
            </w:pPr>
          </w:p>
        </w:tc>
        <w:tc>
          <w:tcPr>
            <w:tcW w:w="1413" w:type="dxa"/>
            <w:vAlign w:val="center"/>
          </w:tcPr>
          <w:p w14:paraId="7A323A07" w14:textId="77777777" w:rsidR="00E8175D" w:rsidRPr="00E8175D" w:rsidRDefault="00E8175D" w:rsidP="00E8175D">
            <w:pPr>
              <w:pStyle w:val="NormalTableau"/>
              <w:jc w:val="left"/>
            </w:pPr>
            <w:r w:rsidRPr="00E8175D">
              <w:t>Am Bann</w:t>
            </w:r>
          </w:p>
        </w:tc>
        <w:tc>
          <w:tcPr>
            <w:tcW w:w="3261" w:type="dxa"/>
            <w:tcMar>
              <w:top w:w="28" w:type="dxa"/>
              <w:left w:w="28" w:type="dxa"/>
              <w:bottom w:w="28" w:type="dxa"/>
              <w:right w:w="28" w:type="dxa"/>
            </w:tcMar>
            <w:vAlign w:val="center"/>
          </w:tcPr>
          <w:p w14:paraId="73E91A79" w14:textId="77777777" w:rsidR="00E8175D" w:rsidRPr="00E8175D" w:rsidRDefault="00E8175D" w:rsidP="00E8175D">
            <w:pPr>
              <w:pStyle w:val="NormalTableau"/>
              <w:jc w:val="left"/>
            </w:pPr>
            <w:r w:rsidRPr="00E8175D">
              <w:t>Tommelbierg - Poudrerie</w:t>
            </w:r>
          </w:p>
        </w:tc>
      </w:tr>
      <w:tr w:rsidR="00E8175D" w:rsidRPr="00E8175D" w14:paraId="355CC91A" w14:textId="77777777" w:rsidTr="00E8175D">
        <w:trPr>
          <w:jc w:val="center"/>
        </w:trPr>
        <w:tc>
          <w:tcPr>
            <w:tcW w:w="1195" w:type="dxa"/>
            <w:shd w:val="clear" w:color="auto" w:fill="E6E7E8"/>
            <w:tcMar>
              <w:top w:w="28" w:type="dxa"/>
              <w:left w:w="28" w:type="dxa"/>
              <w:bottom w:w="28" w:type="dxa"/>
              <w:right w:w="28" w:type="dxa"/>
            </w:tcMar>
            <w:vAlign w:val="center"/>
          </w:tcPr>
          <w:p w14:paraId="1169DFE4" w14:textId="77777777" w:rsidR="00E8175D" w:rsidRPr="00E8175D" w:rsidRDefault="00E8175D" w:rsidP="00E8175D">
            <w:pPr>
              <w:pStyle w:val="NormalTableau"/>
              <w:jc w:val="left"/>
            </w:pPr>
            <w:r w:rsidRPr="00E8175D">
              <w:t>avant</w:t>
            </w:r>
          </w:p>
        </w:tc>
        <w:tc>
          <w:tcPr>
            <w:tcW w:w="1413" w:type="dxa"/>
            <w:vAlign w:val="center"/>
          </w:tcPr>
          <w:p w14:paraId="25BEE56D" w14:textId="77777777" w:rsidR="00E8175D" w:rsidRPr="00E8175D" w:rsidRDefault="00E8175D" w:rsidP="00E8175D">
            <w:pPr>
              <w:pStyle w:val="NormalTableau"/>
              <w:jc w:val="left"/>
            </w:pPr>
            <w:r w:rsidRPr="00E8175D">
              <w:t>10,00m</w:t>
            </w:r>
          </w:p>
        </w:tc>
        <w:tc>
          <w:tcPr>
            <w:tcW w:w="3261" w:type="dxa"/>
            <w:tcMar>
              <w:top w:w="28" w:type="dxa"/>
              <w:left w:w="28" w:type="dxa"/>
              <w:bottom w:w="28" w:type="dxa"/>
              <w:right w:w="28" w:type="dxa"/>
            </w:tcMar>
            <w:vAlign w:val="center"/>
          </w:tcPr>
          <w:p w14:paraId="277457E6" w14:textId="77777777" w:rsidR="00E8175D" w:rsidRPr="00E8175D" w:rsidRDefault="00E8175D" w:rsidP="00E8175D">
            <w:pPr>
              <w:pStyle w:val="NormalTableau"/>
              <w:jc w:val="left"/>
            </w:pPr>
            <w:r w:rsidRPr="00E8175D">
              <w:t>6,00m</w:t>
            </w:r>
          </w:p>
        </w:tc>
      </w:tr>
      <w:tr w:rsidR="00E8175D" w:rsidRPr="00E8175D" w14:paraId="1981B15C" w14:textId="77777777" w:rsidTr="00E8175D">
        <w:trPr>
          <w:jc w:val="center"/>
        </w:trPr>
        <w:tc>
          <w:tcPr>
            <w:tcW w:w="1195" w:type="dxa"/>
            <w:shd w:val="clear" w:color="auto" w:fill="E6E7E8"/>
            <w:tcMar>
              <w:top w:w="28" w:type="dxa"/>
              <w:left w:w="28" w:type="dxa"/>
              <w:bottom w:w="28" w:type="dxa"/>
              <w:right w:w="28" w:type="dxa"/>
            </w:tcMar>
            <w:vAlign w:val="center"/>
          </w:tcPr>
          <w:p w14:paraId="439BCD47" w14:textId="77777777" w:rsidR="00E8175D" w:rsidRPr="00E8175D" w:rsidRDefault="00E8175D" w:rsidP="00E8175D">
            <w:pPr>
              <w:pStyle w:val="NormalTableau"/>
              <w:jc w:val="left"/>
            </w:pPr>
            <w:r w:rsidRPr="00E8175D">
              <w:t>latéral</w:t>
            </w:r>
          </w:p>
        </w:tc>
        <w:tc>
          <w:tcPr>
            <w:tcW w:w="1413" w:type="dxa"/>
            <w:vAlign w:val="center"/>
          </w:tcPr>
          <w:p w14:paraId="4B1EE6AC" w14:textId="77777777" w:rsidR="00E8175D" w:rsidRPr="00E8175D" w:rsidRDefault="00E8175D" w:rsidP="00E8175D">
            <w:pPr>
              <w:pStyle w:val="NormalTableau"/>
              <w:jc w:val="left"/>
            </w:pPr>
            <w:r w:rsidRPr="00E8175D">
              <w:t xml:space="preserve">  7,50m</w:t>
            </w:r>
          </w:p>
        </w:tc>
        <w:tc>
          <w:tcPr>
            <w:tcW w:w="3261" w:type="dxa"/>
            <w:tcMar>
              <w:top w:w="28" w:type="dxa"/>
              <w:left w:w="28" w:type="dxa"/>
              <w:bottom w:w="28" w:type="dxa"/>
              <w:right w:w="28" w:type="dxa"/>
            </w:tcMar>
            <w:vAlign w:val="center"/>
          </w:tcPr>
          <w:p w14:paraId="7B843211" w14:textId="77777777" w:rsidR="00E8175D" w:rsidRPr="00E8175D" w:rsidRDefault="00E8175D" w:rsidP="00E8175D">
            <w:pPr>
              <w:pStyle w:val="NormalTableau"/>
              <w:jc w:val="left"/>
            </w:pPr>
            <w:r w:rsidRPr="00E8175D">
              <w:t>½ hauteur avec un min. 5,00m</w:t>
            </w:r>
          </w:p>
        </w:tc>
      </w:tr>
      <w:tr w:rsidR="00E8175D" w:rsidRPr="00E8175D" w14:paraId="7C22DD2A" w14:textId="77777777" w:rsidTr="00E8175D">
        <w:trPr>
          <w:jc w:val="center"/>
        </w:trPr>
        <w:tc>
          <w:tcPr>
            <w:tcW w:w="1195" w:type="dxa"/>
            <w:shd w:val="clear" w:color="auto" w:fill="E6E7E8"/>
            <w:tcMar>
              <w:top w:w="28" w:type="dxa"/>
              <w:left w:w="28" w:type="dxa"/>
              <w:bottom w:w="28" w:type="dxa"/>
              <w:right w:w="28" w:type="dxa"/>
            </w:tcMar>
            <w:vAlign w:val="center"/>
          </w:tcPr>
          <w:p w14:paraId="1F7DE194" w14:textId="77777777" w:rsidR="00E8175D" w:rsidRPr="00E8175D" w:rsidRDefault="00E8175D" w:rsidP="00E8175D">
            <w:pPr>
              <w:pStyle w:val="NormalTableau"/>
              <w:jc w:val="left"/>
            </w:pPr>
            <w:r w:rsidRPr="00E8175D">
              <w:t>arrière</w:t>
            </w:r>
          </w:p>
        </w:tc>
        <w:tc>
          <w:tcPr>
            <w:tcW w:w="1413" w:type="dxa"/>
            <w:vAlign w:val="center"/>
          </w:tcPr>
          <w:p w14:paraId="3B43A55C" w14:textId="77777777" w:rsidR="00E8175D" w:rsidRPr="00E8175D" w:rsidRDefault="00E8175D" w:rsidP="00E8175D">
            <w:pPr>
              <w:pStyle w:val="NormalTableau"/>
              <w:jc w:val="left"/>
            </w:pPr>
            <w:r w:rsidRPr="00E8175D">
              <w:t>10,00m</w:t>
            </w:r>
          </w:p>
        </w:tc>
        <w:tc>
          <w:tcPr>
            <w:tcW w:w="3261" w:type="dxa"/>
            <w:tcMar>
              <w:top w:w="28" w:type="dxa"/>
              <w:left w:w="28" w:type="dxa"/>
              <w:bottom w:w="28" w:type="dxa"/>
              <w:right w:w="28" w:type="dxa"/>
            </w:tcMar>
            <w:vAlign w:val="center"/>
          </w:tcPr>
          <w:p w14:paraId="2D2B95E9" w14:textId="77777777" w:rsidR="00E8175D" w:rsidRPr="00E8175D" w:rsidRDefault="00E8175D" w:rsidP="00E8175D">
            <w:pPr>
              <w:pStyle w:val="NormalTableau"/>
              <w:jc w:val="left"/>
            </w:pPr>
            <w:r w:rsidRPr="00E8175D">
              <w:t>½ hauteur avec un min. 5,00m</w:t>
            </w:r>
          </w:p>
        </w:tc>
      </w:tr>
    </w:tbl>
    <w:p w14:paraId="1A6F77E5" w14:textId="608B8612" w:rsidR="00E8175D" w:rsidRDefault="00E8175D" w:rsidP="00346560">
      <w:pPr>
        <w:rPr>
          <w:lang w:val="fr-FR"/>
        </w:rPr>
      </w:pPr>
    </w:p>
    <w:p w14:paraId="552C0447" w14:textId="04AA7695" w:rsidR="00E8175D" w:rsidRPr="00E8175D" w:rsidRDefault="00E8175D" w:rsidP="00E8175D">
      <w:pPr>
        <w:pStyle w:val="Heading2"/>
        <w:rPr>
          <w:lang w:val="fr-FR"/>
        </w:rPr>
      </w:pPr>
      <w:r>
        <w:rPr>
          <w:lang w:val="fr-FR"/>
        </w:rPr>
        <w:t xml:space="preserve">Art. 9.3 </w:t>
      </w:r>
      <w:r w:rsidRPr="00E8175D">
        <w:rPr>
          <w:lang w:val="fr-FR"/>
        </w:rPr>
        <w:t>Alignements obligatoires</w:t>
      </w:r>
    </w:p>
    <w:p w14:paraId="0E41D631" w14:textId="77777777" w:rsidR="00E8175D" w:rsidRDefault="00E8175D" w:rsidP="00E8175D">
      <w:pPr>
        <w:rPr>
          <w:lang w:val="fr-FR"/>
        </w:rPr>
      </w:pPr>
      <w:r w:rsidRPr="00E8175D">
        <w:rPr>
          <w:lang w:val="fr-FR"/>
        </w:rPr>
        <w:t>Dans le prolongement de la rue du Château d’eau, sur les parcelles n° 1806/7400 et 1806/7484, 2 al</w:t>
      </w:r>
      <w:r>
        <w:rPr>
          <w:lang w:val="fr-FR"/>
        </w:rPr>
        <w:t>ignements obligatoires situés à:</w:t>
      </w:r>
    </w:p>
    <w:p w14:paraId="3CFC4B9F" w14:textId="3111DDA7" w:rsidR="00E8175D" w:rsidRDefault="00E8175D" w:rsidP="00E8175D">
      <w:pPr>
        <w:pStyle w:val="ListParagraph"/>
        <w:numPr>
          <w:ilvl w:val="0"/>
          <w:numId w:val="7"/>
        </w:numPr>
        <w:rPr>
          <w:lang w:val="fr-FR"/>
        </w:rPr>
      </w:pPr>
      <w:proofErr w:type="gramStart"/>
      <w:r w:rsidRPr="00E8175D">
        <w:rPr>
          <w:lang w:val="fr-FR"/>
        </w:rPr>
        <w:t>pour</w:t>
      </w:r>
      <w:proofErr w:type="gramEnd"/>
      <w:r w:rsidRPr="00E8175D">
        <w:rPr>
          <w:lang w:val="fr-FR"/>
        </w:rPr>
        <w:t xml:space="preserve"> la parcelle n° </w:t>
      </w:r>
      <w:r>
        <w:rPr>
          <w:lang w:val="fr-FR"/>
        </w:rPr>
        <w:t>1806/7484, min. 12 et 13,00m et</w:t>
      </w:r>
    </w:p>
    <w:p w14:paraId="6ABC4C6A" w14:textId="03C5BFAE" w:rsidR="00E8175D" w:rsidRPr="00E8175D" w:rsidRDefault="00E8175D" w:rsidP="00E8175D">
      <w:pPr>
        <w:pStyle w:val="ListParagraph"/>
        <w:numPr>
          <w:ilvl w:val="0"/>
          <w:numId w:val="7"/>
        </w:numPr>
        <w:rPr>
          <w:lang w:val="fr-FR"/>
        </w:rPr>
      </w:pPr>
      <w:proofErr w:type="gramStart"/>
      <w:r w:rsidRPr="00E8175D">
        <w:rPr>
          <w:lang w:val="fr-FR"/>
        </w:rPr>
        <w:t>pour</w:t>
      </w:r>
      <w:proofErr w:type="gramEnd"/>
      <w:r w:rsidRPr="00E8175D">
        <w:rPr>
          <w:lang w:val="fr-FR"/>
        </w:rPr>
        <w:t xml:space="preserve"> la parcelle n° 1806/7</w:t>
      </w:r>
      <w:r>
        <w:rPr>
          <w:lang w:val="fr-FR"/>
        </w:rPr>
        <w:t>400, min. 11 et 24,00m</w:t>
      </w:r>
    </w:p>
    <w:p w14:paraId="54CC7EEF" w14:textId="2D0B032C" w:rsidR="00E8175D" w:rsidRPr="00E8175D" w:rsidRDefault="00E8175D" w:rsidP="00E8175D">
      <w:pPr>
        <w:rPr>
          <w:lang w:val="fr-FR"/>
        </w:rPr>
      </w:pPr>
      <w:proofErr w:type="gramStart"/>
      <w:r w:rsidRPr="00E8175D">
        <w:rPr>
          <w:lang w:val="fr-FR"/>
        </w:rPr>
        <w:t>des</w:t>
      </w:r>
      <w:proofErr w:type="gramEnd"/>
      <w:r w:rsidRPr="00E8175D">
        <w:rPr>
          <w:lang w:val="fr-FR"/>
        </w:rPr>
        <w:t xml:space="preserve"> limites parcellaires nord</w:t>
      </w:r>
      <w:r>
        <w:rPr>
          <w:lang w:val="fr-FR"/>
        </w:rPr>
        <w:t xml:space="preserve"> respectives, sont à respecter.</w:t>
      </w:r>
    </w:p>
    <w:p w14:paraId="468DA572" w14:textId="54D9172F" w:rsidR="00E8175D" w:rsidRPr="00E8175D" w:rsidRDefault="00E8175D" w:rsidP="00E8175D">
      <w:pPr>
        <w:pStyle w:val="Heading2"/>
        <w:rPr>
          <w:lang w:val="fr-FR"/>
        </w:rPr>
      </w:pPr>
      <w:r>
        <w:rPr>
          <w:lang w:val="fr-FR"/>
        </w:rPr>
        <w:t>Art.</w:t>
      </w:r>
      <w:r w:rsidRPr="00E8175D">
        <w:rPr>
          <w:lang w:val="fr-FR"/>
        </w:rPr>
        <w:t xml:space="preserve"> 9.4</w:t>
      </w:r>
      <w:r>
        <w:rPr>
          <w:lang w:val="fr-FR"/>
        </w:rPr>
        <w:t xml:space="preserve"> </w:t>
      </w:r>
      <w:r w:rsidRPr="00E8175D">
        <w:rPr>
          <w:lang w:val="fr-FR"/>
        </w:rPr>
        <w:t>Dimensions des constructions hors-sols</w:t>
      </w:r>
    </w:p>
    <w:p w14:paraId="4310D5C3" w14:textId="5E4B578A" w:rsidR="00E8175D" w:rsidRPr="00E8175D" w:rsidRDefault="00E8175D" w:rsidP="00E8175D">
      <w:pPr>
        <w:rPr>
          <w:lang w:val="fr-FR"/>
        </w:rPr>
      </w:pPr>
      <w:r w:rsidRPr="00E8175D">
        <w:rPr>
          <w:lang w:val="fr-FR"/>
        </w:rPr>
        <w:t>Le rapport entre le volume construit total des constructions principales hors-sols et des dépendances cumulées et la surface du terrain à b</w:t>
      </w:r>
      <w:r>
        <w:rPr>
          <w:lang w:val="fr-FR"/>
        </w:rPr>
        <w:t>âtir net, ne doit pas dépasser</w:t>
      </w:r>
      <w:r w:rsidRPr="00E8175D">
        <w:rPr>
          <w:lang w:val="fr-FR"/>
        </w:rPr>
        <w:t xml:space="preserve"> max. 5,5m</w:t>
      </w:r>
      <w:r w:rsidRPr="00E8175D">
        <w:rPr>
          <w:vertAlign w:val="superscript"/>
          <w:lang w:val="fr-FR"/>
        </w:rPr>
        <w:t>3</w:t>
      </w:r>
      <w:r w:rsidRPr="00E8175D">
        <w:rPr>
          <w:lang w:val="fr-FR"/>
        </w:rPr>
        <w:t>/m</w:t>
      </w:r>
      <w:r w:rsidRPr="00E8175D">
        <w:rPr>
          <w:vertAlign w:val="superscript"/>
          <w:lang w:val="fr-FR"/>
        </w:rPr>
        <w:t>2</w:t>
      </w:r>
      <w:r w:rsidRPr="00E8175D">
        <w:rPr>
          <w:lang w:val="fr-FR"/>
        </w:rPr>
        <w:t>.</w:t>
      </w:r>
    </w:p>
    <w:p w14:paraId="3AA1B438" w14:textId="06026BA3" w:rsidR="00E8175D" w:rsidRPr="00E8175D" w:rsidRDefault="00E8175D" w:rsidP="00E8175D">
      <w:pPr>
        <w:rPr>
          <w:lang w:val="fr-FR"/>
        </w:rPr>
      </w:pPr>
      <w:r w:rsidRPr="00E8175D">
        <w:rPr>
          <w:lang w:val="fr-FR"/>
        </w:rPr>
        <w:t>Sur les terrains pour lesquels une cession de terrains réservés à la voirie et aux équipements publics, est requise, le volume construit total des constructions principales hors-sols et des dépendances cumulées est calculé par rapport à la su</w:t>
      </w:r>
      <w:r>
        <w:rPr>
          <w:lang w:val="fr-FR"/>
        </w:rPr>
        <w:t>rface du terrain à bâtir brut.</w:t>
      </w:r>
    </w:p>
    <w:p w14:paraId="4C02A2FA" w14:textId="796D5F44" w:rsidR="00E8175D" w:rsidRPr="00E8175D" w:rsidRDefault="00E8175D" w:rsidP="00E8175D">
      <w:pPr>
        <w:pStyle w:val="Heading2"/>
        <w:rPr>
          <w:lang w:val="fr-FR"/>
        </w:rPr>
      </w:pPr>
      <w:r>
        <w:rPr>
          <w:lang w:val="fr-FR"/>
        </w:rPr>
        <w:t>Art.</w:t>
      </w:r>
      <w:r w:rsidRPr="00E8175D">
        <w:rPr>
          <w:lang w:val="fr-FR"/>
        </w:rPr>
        <w:t xml:space="preserve"> 9.5</w:t>
      </w:r>
      <w:r>
        <w:rPr>
          <w:lang w:val="fr-FR"/>
        </w:rPr>
        <w:t xml:space="preserve"> </w:t>
      </w:r>
      <w:r w:rsidRPr="00E8175D">
        <w:rPr>
          <w:lang w:val="fr-FR"/>
        </w:rPr>
        <w:t>Hauteurs à la corniche, à l’acrotère et au faîte</w:t>
      </w:r>
    </w:p>
    <w:p w14:paraId="1C33202C" w14:textId="77777777" w:rsidR="00E8175D" w:rsidRPr="00E8175D" w:rsidRDefault="00E8175D" w:rsidP="00E8175D">
      <w:pPr>
        <w:rPr>
          <w:lang w:val="fr-FR"/>
        </w:rPr>
      </w:pPr>
      <w:r w:rsidRPr="00E8175D">
        <w:rPr>
          <w:lang w:val="fr-FR"/>
        </w:rPr>
        <w:t>Les hauteurs à la corniche, au faîte et à l’acrotère sont limitées par la hauteur maximale de max. 16,00m.</w:t>
      </w:r>
    </w:p>
    <w:p w14:paraId="1314E7E0" w14:textId="4C598090" w:rsidR="00E8175D" w:rsidRPr="00E8175D" w:rsidRDefault="00E8175D" w:rsidP="00E8175D">
      <w:pPr>
        <w:pStyle w:val="Heading2"/>
        <w:rPr>
          <w:lang w:val="fr-FR"/>
        </w:rPr>
      </w:pPr>
      <w:r>
        <w:rPr>
          <w:lang w:val="fr-FR"/>
        </w:rPr>
        <w:t>Art.</w:t>
      </w:r>
      <w:r w:rsidRPr="00E8175D">
        <w:rPr>
          <w:lang w:val="fr-FR"/>
        </w:rPr>
        <w:t xml:space="preserve"> 9.6</w:t>
      </w:r>
      <w:r>
        <w:rPr>
          <w:lang w:val="fr-FR"/>
        </w:rPr>
        <w:t xml:space="preserve"> </w:t>
      </w:r>
      <w:r w:rsidRPr="00E8175D">
        <w:rPr>
          <w:lang w:val="fr-FR"/>
        </w:rPr>
        <w:t>Nombre d’unités de logement</w:t>
      </w:r>
    </w:p>
    <w:p w14:paraId="1DF139E2" w14:textId="68C4191C" w:rsidR="00E8175D" w:rsidRPr="00E8175D" w:rsidRDefault="00E8175D" w:rsidP="00E8175D">
      <w:pPr>
        <w:rPr>
          <w:lang w:val="fr-FR"/>
        </w:rPr>
      </w:pPr>
      <w:r w:rsidRPr="00E8175D">
        <w:rPr>
          <w:lang w:val="fr-FR"/>
        </w:rPr>
        <w:t>Seuls les logem</w:t>
      </w:r>
      <w:r>
        <w:rPr>
          <w:lang w:val="fr-FR"/>
        </w:rPr>
        <w:t>ents de service sont autorisés.</w:t>
      </w:r>
    </w:p>
    <w:p w14:paraId="63A35D71" w14:textId="093BBD55" w:rsidR="00E8175D" w:rsidRDefault="00E8175D" w:rsidP="00E8175D">
      <w:pPr>
        <w:rPr>
          <w:lang w:val="fr-FR"/>
        </w:rPr>
      </w:pPr>
      <w:r w:rsidRPr="00E8175D">
        <w:rPr>
          <w:lang w:val="fr-FR"/>
        </w:rPr>
        <w:lastRenderedPageBreak/>
        <w:t>Un seul logement de service destiné au personnel dont la présence permanente est nécessaire pour assurer la direction ou la surveillance de l’établissement, est autorisé par parcelle.</w:t>
      </w:r>
    </w:p>
    <w:p w14:paraId="3F587A39" w14:textId="7B4845B5" w:rsidR="00E8175D" w:rsidRPr="00E8175D" w:rsidRDefault="00E8175D" w:rsidP="00E8175D">
      <w:pPr>
        <w:pStyle w:val="Heading2"/>
        <w:rPr>
          <w:lang w:val="fr-FR"/>
        </w:rPr>
      </w:pPr>
      <w:r>
        <w:rPr>
          <w:lang w:val="fr-FR"/>
        </w:rPr>
        <w:t>Art.</w:t>
      </w:r>
      <w:r w:rsidRPr="00E8175D">
        <w:rPr>
          <w:lang w:val="fr-FR"/>
        </w:rPr>
        <w:t xml:space="preserve"> 9.7</w:t>
      </w:r>
      <w:r>
        <w:rPr>
          <w:lang w:val="fr-FR"/>
        </w:rPr>
        <w:t xml:space="preserve"> </w:t>
      </w:r>
      <w:r w:rsidRPr="00E8175D">
        <w:rPr>
          <w:lang w:val="fr-FR"/>
        </w:rPr>
        <w:t>Constructions souterraines</w:t>
      </w:r>
    </w:p>
    <w:p w14:paraId="4055C05D" w14:textId="77777777" w:rsidR="00E8175D" w:rsidRPr="00E8175D" w:rsidRDefault="00E8175D" w:rsidP="00E8175D">
      <w:pPr>
        <w:rPr>
          <w:lang w:val="fr-FR"/>
        </w:rPr>
      </w:pPr>
      <w:r w:rsidRPr="00E8175D">
        <w:rPr>
          <w:lang w:val="fr-FR"/>
        </w:rPr>
        <w:t>Le nombre de niveaux des constructions souterraines, est limité à max. 3.</w:t>
      </w:r>
    </w:p>
    <w:p w14:paraId="2161158F" w14:textId="70C3DD55" w:rsidR="00E8175D" w:rsidRDefault="00E8175D" w:rsidP="00E8175D">
      <w:pPr>
        <w:rPr>
          <w:lang w:val="fr-FR"/>
        </w:rPr>
      </w:pPr>
      <w:r w:rsidRPr="00E8175D">
        <w:rPr>
          <w:lang w:val="fr-FR"/>
        </w:rPr>
        <w:t xml:space="preserve">Sur les terrains situés aux abords immédiats des espaces de renaturation du </w:t>
      </w:r>
      <w:r>
        <w:rPr>
          <w:lang w:val="fr-FR"/>
        </w:rPr>
        <w:t>« </w:t>
      </w:r>
      <w:proofErr w:type="spellStart"/>
      <w:r w:rsidRPr="00E8175D">
        <w:rPr>
          <w:lang w:val="fr-FR"/>
        </w:rPr>
        <w:t>Drosbach</w:t>
      </w:r>
      <w:proofErr w:type="spellEnd"/>
      <w:r>
        <w:rPr>
          <w:lang w:val="fr-FR"/>
        </w:rPr>
        <w:t> »</w:t>
      </w:r>
      <w:r w:rsidRPr="00E8175D">
        <w:rPr>
          <w:lang w:val="fr-FR"/>
        </w:rPr>
        <w:t>, le nombre de niveaux des constructions souterraines est limité à max. 2.</w:t>
      </w:r>
    </w:p>
    <w:p w14:paraId="14FE596C" w14:textId="06E382B8" w:rsidR="00E8175D" w:rsidRPr="00E8175D" w:rsidRDefault="00E8175D" w:rsidP="00E8175D">
      <w:pPr>
        <w:pStyle w:val="Heading2"/>
        <w:rPr>
          <w:lang w:val="fr-FR"/>
        </w:rPr>
      </w:pPr>
      <w:r>
        <w:rPr>
          <w:lang w:val="fr-FR"/>
        </w:rPr>
        <w:t xml:space="preserve">Art. 9.8 </w:t>
      </w:r>
      <w:r w:rsidRPr="00E8175D">
        <w:rPr>
          <w:lang w:val="fr-FR"/>
        </w:rPr>
        <w:t>Accès carrossables</w:t>
      </w:r>
    </w:p>
    <w:p w14:paraId="69952789" w14:textId="4AAB517C" w:rsidR="00E8175D" w:rsidRPr="00E8175D" w:rsidRDefault="00E8175D" w:rsidP="00E8175D">
      <w:pPr>
        <w:rPr>
          <w:lang w:val="fr-FR"/>
        </w:rPr>
      </w:pPr>
      <w:r w:rsidRPr="00E8175D">
        <w:rPr>
          <w:lang w:val="fr-FR"/>
        </w:rPr>
        <w:t>Sans préjudice de l’Art. 1.28, le nombre des accès carrossables es</w:t>
      </w:r>
      <w:r>
        <w:rPr>
          <w:lang w:val="fr-FR"/>
        </w:rPr>
        <w:t>t limité à max. 3 par parcelle.</w:t>
      </w:r>
    </w:p>
    <w:p w14:paraId="1A1AA556" w14:textId="77777777" w:rsidR="00E8175D" w:rsidRPr="00E8175D" w:rsidRDefault="00E8175D" w:rsidP="00E8175D">
      <w:pPr>
        <w:rPr>
          <w:lang w:val="fr-FR"/>
        </w:rPr>
      </w:pPr>
      <w:r w:rsidRPr="00E8175D">
        <w:rPr>
          <w:lang w:val="fr-FR"/>
        </w:rPr>
        <w:t>La largeur de chaque accès, ne doit pas dépasser max.10,00m.</w:t>
      </w:r>
    </w:p>
    <w:p w14:paraId="09A49F48" w14:textId="20B65183" w:rsidR="00E8175D" w:rsidRPr="00E8175D" w:rsidRDefault="00E8175D" w:rsidP="00E8175D">
      <w:pPr>
        <w:pStyle w:val="Heading2"/>
        <w:rPr>
          <w:lang w:val="fr-FR"/>
        </w:rPr>
      </w:pPr>
      <w:r>
        <w:rPr>
          <w:lang w:val="fr-FR"/>
        </w:rPr>
        <w:t>Art.</w:t>
      </w:r>
      <w:r w:rsidRPr="00E8175D">
        <w:rPr>
          <w:lang w:val="fr-FR"/>
        </w:rPr>
        <w:t xml:space="preserve"> 9.9</w:t>
      </w:r>
      <w:r>
        <w:rPr>
          <w:lang w:val="fr-FR"/>
        </w:rPr>
        <w:t xml:space="preserve"> </w:t>
      </w:r>
      <w:r w:rsidRPr="00E8175D">
        <w:rPr>
          <w:lang w:val="fr-FR"/>
        </w:rPr>
        <w:t>Surfaces destinées à recevoir des plantations</w:t>
      </w:r>
    </w:p>
    <w:p w14:paraId="0B7F3D90" w14:textId="7A0B7B98" w:rsidR="00E8175D" w:rsidRPr="00E8175D" w:rsidRDefault="00E8175D" w:rsidP="00E8175D">
      <w:pPr>
        <w:rPr>
          <w:lang w:val="fr-FR"/>
        </w:rPr>
      </w:pPr>
      <w:r w:rsidRPr="00E8175D">
        <w:rPr>
          <w:lang w:val="fr-FR"/>
        </w:rPr>
        <w:t>Une bande de verdure, plantée d'arbres et d'arbustes, de min. 2,00m de large, doit être prévue le long de l’alignement de voirie, à l'intérieur de la p</w:t>
      </w:r>
      <w:r>
        <w:rPr>
          <w:lang w:val="fr-FR"/>
        </w:rPr>
        <w:t>arcelle, excepté sur les accès.</w:t>
      </w:r>
    </w:p>
    <w:p w14:paraId="50753673" w14:textId="25917A65" w:rsidR="00E8175D" w:rsidRPr="00E8175D" w:rsidRDefault="00E8175D" w:rsidP="00E8175D">
      <w:pPr>
        <w:rPr>
          <w:lang w:val="fr-FR"/>
        </w:rPr>
      </w:pPr>
      <w:r w:rsidRPr="00E8175D">
        <w:rPr>
          <w:lang w:val="fr-FR"/>
        </w:rPr>
        <w:t>Min. 50% des plantations doivent être constitués d’arbres et d’arbustes. Pour 30m</w:t>
      </w:r>
      <w:r w:rsidRPr="00E8175D">
        <w:rPr>
          <w:vertAlign w:val="superscript"/>
          <w:lang w:val="fr-FR"/>
        </w:rPr>
        <w:t>2</w:t>
      </w:r>
      <w:r w:rsidRPr="00E8175D">
        <w:rPr>
          <w:lang w:val="fr-FR"/>
        </w:rPr>
        <w:t xml:space="preserve"> de surface plantée, min. 1 arbre à haute tige doit être prévu.</w:t>
      </w:r>
    </w:p>
    <w:p w14:paraId="259B31BC" w14:textId="5911380D" w:rsidR="00E8175D" w:rsidRPr="00346560" w:rsidRDefault="00E8175D" w:rsidP="00E8175D">
      <w:pPr>
        <w:rPr>
          <w:lang w:val="fr-FR"/>
        </w:rPr>
      </w:pPr>
      <w:r w:rsidRPr="00E8175D">
        <w:rPr>
          <w:lang w:val="fr-FR"/>
        </w:rPr>
        <w:t>Les surfaces destinées à recevoir des plantations ne doivent, en aucun cas, être utilisées comme desserte, parking ou dépôt.</w:t>
      </w:r>
      <w:bookmarkStart w:id="0" w:name="_GoBack"/>
      <w:bookmarkEnd w:id="0"/>
    </w:p>
    <w:sectPr w:rsidR="00E8175D" w:rsidRPr="0034656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C2618A"/>
    <w:multiLevelType w:val="hybridMultilevel"/>
    <w:tmpl w:val="6186B7BC"/>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1"/>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46560"/>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8175D"/>
    <w:rsid w:val="00EA7952"/>
    <w:rsid w:val="00EB23F4"/>
    <w:rsid w:val="00F163B8"/>
    <w:rsid w:val="00FB7B2F"/>
    <w:rsid w:val="00FD796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477</Words>
  <Characters>2624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20</cp:revision>
  <dcterms:created xsi:type="dcterms:W3CDTF">2019-11-19T06:33:00Z</dcterms:created>
  <dcterms:modified xsi:type="dcterms:W3CDTF">2021-05-25T09:25:00Z</dcterms:modified>
</cp:coreProperties>
</file>