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11D4D" w14:textId="77777777" w:rsidR="00377A08" w:rsidRDefault="00377A08" w:rsidP="00377A08">
      <w:pPr>
        <w:pStyle w:val="Heading1"/>
      </w:pPr>
      <w:r>
        <w:t>Art. 3 Zone mixte villageoise [MIX-v]</w:t>
      </w:r>
    </w:p>
    <w:p w14:paraId="38FDEE07" w14:textId="7E31BC39" w:rsidR="006605E2" w:rsidRDefault="00377A08" w:rsidP="00377A08">
      <w:r>
        <w:t>La zone mixte villageoise couvre les centres des localités de Bofferdange, Helmdange et de Lorentzweiler.</w:t>
      </w:r>
    </w:p>
    <w:p w14:paraId="1EF3BA9B" w14:textId="5253F9D3" w:rsidR="00B12C9E" w:rsidRDefault="00377A08" w:rsidP="00377A08">
      <w:r>
        <w:t>Elle est destinée à accueillir:</w:t>
      </w:r>
      <w:bookmarkStart w:id="0" w:name="_GoBack"/>
      <w:bookmarkEnd w:id="0"/>
    </w:p>
    <w:p w14:paraId="6DFA9C32" w14:textId="77777777" w:rsidR="00377A08" w:rsidRDefault="00377A08" w:rsidP="00377A08">
      <w:pPr>
        <w:pStyle w:val="ListParagraph"/>
        <w:numPr>
          <w:ilvl w:val="0"/>
          <w:numId w:val="7"/>
        </w:numPr>
      </w:pPr>
      <w:r>
        <w:t>des habitations de type maison uni-, bi- ou plurifamiliale à 12 unités de logement par immeuble au maximum,</w:t>
      </w:r>
    </w:p>
    <w:p w14:paraId="780774DB" w14:textId="77777777" w:rsidR="00377A08" w:rsidRDefault="00377A08" w:rsidP="00377A08">
      <w:pPr>
        <w:pStyle w:val="ListParagraph"/>
        <w:numPr>
          <w:ilvl w:val="0"/>
          <w:numId w:val="7"/>
        </w:numPr>
      </w:pPr>
      <w:r>
        <w:t>des activités artisanales, des activités de commerce dont la surface construite brute est limitée à 500 m</w:t>
      </w:r>
      <w:r w:rsidRPr="00377A08">
        <w:rPr>
          <w:vertAlign w:val="superscript"/>
        </w:rPr>
        <w:t>2</w:t>
      </w:r>
      <w:r>
        <w:t xml:space="preserve"> par immeuble bâti,</w:t>
      </w:r>
    </w:p>
    <w:p w14:paraId="21378632" w14:textId="77777777" w:rsidR="00377A08" w:rsidRDefault="00377A08" w:rsidP="00377A08">
      <w:pPr>
        <w:pStyle w:val="ListParagraph"/>
        <w:numPr>
          <w:ilvl w:val="0"/>
          <w:numId w:val="7"/>
        </w:numPr>
      </w:pPr>
      <w:r>
        <w:t>des activités de loisirs, des services administratifs ou professionnels dont la surface construite brute est limitée à 300 m</w:t>
      </w:r>
      <w:r w:rsidRPr="00377A08">
        <w:rPr>
          <w:vertAlign w:val="superscript"/>
        </w:rPr>
        <w:t>2</w:t>
      </w:r>
      <w:r>
        <w:t xml:space="preserve"> par immeuble bâti,</w:t>
      </w:r>
    </w:p>
    <w:p w14:paraId="54709A53" w14:textId="77777777" w:rsidR="00377A08" w:rsidRDefault="00377A08" w:rsidP="00377A08">
      <w:pPr>
        <w:pStyle w:val="ListParagraph"/>
        <w:numPr>
          <w:ilvl w:val="0"/>
          <w:numId w:val="7"/>
        </w:numPr>
      </w:pPr>
      <w:r>
        <w:t>des hôtels, des restaurants et des débits de boissons,</w:t>
      </w:r>
    </w:p>
    <w:p w14:paraId="456007BD" w14:textId="77777777" w:rsidR="00377A08" w:rsidRDefault="00377A08" w:rsidP="00377A08">
      <w:pPr>
        <w:pStyle w:val="ListParagraph"/>
        <w:numPr>
          <w:ilvl w:val="0"/>
          <w:numId w:val="7"/>
        </w:numPr>
      </w:pPr>
      <w:r>
        <w:t>des établissements de petite et moyenne envergure,</w:t>
      </w:r>
    </w:p>
    <w:p w14:paraId="7614605D" w14:textId="24394D87" w:rsidR="00377A08" w:rsidRDefault="00377A08" w:rsidP="00377A08">
      <w:pPr>
        <w:pStyle w:val="ListParagraph"/>
        <w:numPr>
          <w:ilvl w:val="0"/>
          <w:numId w:val="7"/>
        </w:numPr>
      </w:pPr>
      <w:r>
        <w:t>des équipements de service public.</w:t>
      </w:r>
    </w:p>
    <w:p w14:paraId="06C1B5B1" w14:textId="77777777" w:rsidR="00377A08" w:rsidRDefault="00377A08" w:rsidP="00377A08">
      <w:r>
        <w:t>Un seul logement intégré est autorisé par maison unifamiliale.</w:t>
      </w:r>
    </w:p>
    <w:p w14:paraId="5063FBFA" w14:textId="77777777" w:rsidR="00377A08" w:rsidRDefault="00377A08" w:rsidP="00377A08">
      <w:r>
        <w:t>L’implantation de stations - service, de garages de réparation et de postes de carburant y sont interdits. Seuls des équipements de recharge électrique sont admis.</w:t>
      </w:r>
    </w:p>
    <w:p w14:paraId="26C673E6" w14:textId="77777777" w:rsidR="00377A08" w:rsidRDefault="00377A08" w:rsidP="00377A08">
      <w:r>
        <w:t>De manière générale, y sont interdits les constructions et les établissements qui par leur nature et leur importance seraient incompatibles avec la sécurité, la salubrité, la commodité et la tranquillité d’un quartier d’habitation.</w:t>
      </w:r>
    </w:p>
    <w:p w14:paraId="2658FC5F" w14:textId="7EFA9422" w:rsidR="00377A08" w:rsidRDefault="00377A08" w:rsidP="00377A08">
      <w:r>
        <w:t>Pour tout plan d’aménagement particulier « nouveau quartier » exécutant une zone mixte villageoise, la part minimale de la surface construite brute à réserver à l’habitation ne pourra être inférieure à 50%.</w:t>
      </w:r>
    </w:p>
    <w:p w14:paraId="550EC8D2" w14:textId="2F01BDAF" w:rsidR="00377A08" w:rsidRDefault="00377A08" w:rsidP="00377A08">
      <w:r>
        <w:t>La commune peut déroger au principe des 50% pour l’aménagement d’équipements de service public.</w:t>
      </w:r>
    </w:p>
    <w:p w14:paraId="34A21F77" w14:textId="77777777" w:rsidR="00455A9B" w:rsidRDefault="00455A9B" w:rsidP="00455A9B">
      <w:pPr>
        <w:pStyle w:val="Heading1"/>
      </w:pPr>
      <w:r>
        <w:t>Art. 10 Règles applicables à toutes les zones urbanisées</w:t>
      </w:r>
    </w:p>
    <w:p w14:paraId="70D6AED9" w14:textId="5A44696E" w:rsidR="00455A9B" w:rsidRPr="007D461A" w:rsidRDefault="00455A9B" w:rsidP="00377A08">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455A9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5F570C"/>
    <w:multiLevelType w:val="hybridMultilevel"/>
    <w:tmpl w:val="8028269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77A08"/>
    <w:rsid w:val="00387019"/>
    <w:rsid w:val="0039622D"/>
    <w:rsid w:val="00397462"/>
    <w:rsid w:val="003A681A"/>
    <w:rsid w:val="00455A9B"/>
    <w:rsid w:val="005D1D9B"/>
    <w:rsid w:val="006605E2"/>
    <w:rsid w:val="006653E2"/>
    <w:rsid w:val="006B0ABB"/>
    <w:rsid w:val="00732511"/>
    <w:rsid w:val="007B41C9"/>
    <w:rsid w:val="007B5125"/>
    <w:rsid w:val="007D461A"/>
    <w:rsid w:val="008A46DB"/>
    <w:rsid w:val="009D6555"/>
    <w:rsid w:val="00A610F9"/>
    <w:rsid w:val="00AD5B20"/>
    <w:rsid w:val="00B11E93"/>
    <w:rsid w:val="00B12C9E"/>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0461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2022-08-29T12:05:00Z</dcterms:modified>
</cp:coreProperties>
</file>