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153D3D" w14:textId="77777777" w:rsidR="00A005E7" w:rsidRDefault="00A005E7" w:rsidP="00A005E7">
      <w:pPr>
        <w:pStyle w:val="Heading1"/>
      </w:pPr>
      <w:r>
        <w:t>Art. 17 Zone d’aménagement différé [ZAD]</w:t>
      </w:r>
    </w:p>
    <w:p w14:paraId="0AC013B1" w14:textId="373A7E04" w:rsidR="0025020F" w:rsidRDefault="00A005E7" w:rsidP="00A005E7">
      <w:r>
        <w:t>Les zones d’aménagement différé constituent des zones superposées, frappées d’une interdiction temporaire de construction et d’aménagement.</w:t>
      </w:r>
      <w:bookmarkStart w:id="0" w:name="_GoBack"/>
      <w:bookmarkEnd w:id="0"/>
    </w:p>
    <w:p w14:paraId="6D0870F6" w14:textId="77777777" w:rsidR="00A005E7" w:rsidRDefault="00A005E7" w:rsidP="00A005E7">
      <w:r>
        <w:t>Seules peuvent y être admises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7E26FAC" w14:textId="77777777" w:rsidR="00A005E7" w:rsidRDefault="00A005E7" w:rsidP="00A005E7">
      <w:r>
        <w:t>Les exploitations agricoles existantes peuvent être maintenues, des travaux de maintenance et des transformations y sont admises, sous condition de ne pas compromettre le développement futur de la zone.</w:t>
      </w:r>
    </w:p>
    <w:p w14:paraId="44E2FF50" w14:textId="77777777" w:rsidR="00A005E7" w:rsidRDefault="00A005E7" w:rsidP="00A005E7">
      <w:r>
        <w:t>Elles constituent en principe des réserves foncières destinées à être urbanisées à moyen ou long terme. La décision de lever le statut de la zone d’aménagement différé fait l’objet d’une procédure de modification du plan d’aménagement général.</w:t>
      </w:r>
    </w:p>
    <w:p w14:paraId="38FDEE07" w14:textId="53697435" w:rsidR="006605E2" w:rsidRPr="007D461A" w:rsidRDefault="00A005E7" w:rsidP="00A005E7">
      <w:r>
        <w:t>La terminologie du degré d’utilisation du sol de la zone d’aménagement différé est définie dans l’Annexe du règlement grand-ducal concernant le contenu du plan d’aménagement général d’une commune.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5020F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005E7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2022-08-29T12:07:00Z</dcterms:modified>
</cp:coreProperties>
</file>