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5A6DB" w14:textId="12F90C2A" w:rsidR="00A56F56" w:rsidRPr="00A56F56" w:rsidRDefault="00336A0B" w:rsidP="00A56F56">
      <w:pPr>
        <w:pStyle w:val="Heading2"/>
        <w:rPr>
          <w:lang w:val="fr-FR"/>
        </w:rPr>
      </w:pPr>
      <w:r w:rsidRPr="00336A0B">
        <w:rPr>
          <w:lang w:val="fr-FR"/>
        </w:rPr>
        <w:t>Art. 20.4 Façade protégée</w:t>
      </w:r>
      <w:bookmarkStart w:id="0" w:name="_GoBack"/>
      <w:bookmarkEnd w:id="0"/>
    </w:p>
    <w:p w14:paraId="4DB956C6" w14:textId="77777777" w:rsidR="00336A0B" w:rsidRPr="00336A0B" w:rsidRDefault="00336A0B" w:rsidP="00336A0B">
      <w:pPr>
        <w:rPr>
          <w:lang w:val="fr-FR"/>
        </w:rPr>
      </w:pPr>
      <w:r w:rsidRPr="00336A0B">
        <w:rPr>
          <w:lang w:val="fr-FR"/>
        </w:rPr>
        <w:t>Les façades protégées marquées d’un trait bleu dans la partie graphique du PAG ne peuvent subir aucune démolition, transformation modification ou agrandissement qui puisse nuire à la valeur historique, artistique ou esthétique ou altérer leur gabarit ou leur aspect architectural, sauf si des faits inhérents à la sécurité et à la salubrité, dûment justifiés et établis, justifient alors un tel projet.</w:t>
      </w:r>
    </w:p>
    <w:p w14:paraId="38FDEE07" w14:textId="5A42DB12" w:rsidR="006605E2" w:rsidRPr="00336A0B" w:rsidRDefault="00336A0B" w:rsidP="00336A0B">
      <w:pPr>
        <w:rPr>
          <w:lang w:val="fr-FR"/>
        </w:rPr>
      </w:pPr>
      <w:r w:rsidRPr="00336A0B">
        <w:rPr>
          <w:lang w:val="fr-FR"/>
        </w:rPr>
        <w:t>Toute intervention sur une façade protégée doit veiller à la conservation et la mise en valeur des composantes architecturales existantes.</w:t>
      </w:r>
    </w:p>
    <w:sectPr w:rsidR="006605E2" w:rsidRPr="00336A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552D3"/>
    <w:rsid w:val="00336A0B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56F56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2023-01-09T14:28:00Z</dcterms:modified>
</cp:coreProperties>
</file>