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D4D40" w14:textId="77777777" w:rsidR="00E6029C" w:rsidRDefault="00E6029C" w:rsidP="00E6029C">
      <w:pPr>
        <w:pStyle w:val="Heading1"/>
      </w:pPr>
      <w:r>
        <w:t>Art. 9 Zone de sports et de loisirs [REC]</w:t>
      </w:r>
    </w:p>
    <w:p w14:paraId="238AE59A" w14:textId="16CA81A1" w:rsidR="004D01B9" w:rsidRPr="007D461A" w:rsidRDefault="00E6029C" w:rsidP="00E6029C">
      <w:r>
        <w:t>Les zones de sports et de loisirs sont destinées aux bâtiments, infrastructures et installations de sports, de loisirs, de camping et aménagements touristiques. Y est admis un logement de service par site, directement lié aux activités y autorisées.</w:t>
      </w:r>
      <w:bookmarkStart w:id="0" w:name="_GoBack"/>
      <w:bookmarkEnd w:id="0"/>
    </w:p>
    <w:sectPr w:rsidR="004D01B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D01B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6029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2023-01-09T14:32:00Z</dcterms:modified>
</cp:coreProperties>
</file>